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EE" w:rsidRPr="00F93325" w:rsidRDefault="00703CEE" w:rsidP="00F93325">
      <w:pPr>
        <w:spacing w:after="105" w:line="240" w:lineRule="auto"/>
        <w:jc w:val="both"/>
        <w:rPr>
          <w:rFonts w:ascii="Times New Roman" w:hAnsi="Times New Roman" w:cs="Times New Roman"/>
          <w:b/>
          <w:bCs/>
          <w:color w:val="2A2A2A"/>
          <w:sz w:val="24"/>
          <w:szCs w:val="24"/>
          <w:lang w:eastAsia="en-GB"/>
        </w:rPr>
      </w:pPr>
    </w:p>
    <w:p w:rsidR="00703CEE" w:rsidRPr="00F93325" w:rsidRDefault="00703CEE" w:rsidP="00F93325">
      <w:pPr>
        <w:spacing w:after="105" w:line="240" w:lineRule="auto"/>
        <w:jc w:val="both"/>
        <w:rPr>
          <w:rFonts w:ascii="Times New Roman" w:hAnsi="Times New Roman" w:cs="Times New Roman"/>
          <w:b/>
          <w:bCs/>
          <w:color w:val="2A2A2A"/>
          <w:sz w:val="24"/>
          <w:szCs w:val="24"/>
          <w:lang w:eastAsia="en-GB"/>
        </w:rPr>
      </w:pPr>
      <w:r w:rsidRPr="00F93325">
        <w:rPr>
          <w:rFonts w:ascii="Times New Roman" w:hAnsi="Times New Roman" w:cs="Times New Roman"/>
          <w:b/>
          <w:bCs/>
          <w:color w:val="2A2A2A"/>
          <w:sz w:val="24"/>
          <w:szCs w:val="24"/>
          <w:lang w:eastAsia="en-GB"/>
        </w:rPr>
        <w:t>CRIMINAL TRIALS: What guarantees does international human rights law offer?</w:t>
      </w:r>
    </w:p>
    <w:p w:rsidR="00703CEE" w:rsidRPr="00F93325" w:rsidRDefault="00703CEE" w:rsidP="00F93325">
      <w:pPr>
        <w:spacing w:after="0" w:line="240" w:lineRule="auto"/>
        <w:jc w:val="both"/>
        <w:rPr>
          <w:rFonts w:ascii="Times New Roman" w:hAnsi="Times New Roman" w:cs="Times New Roman"/>
          <w:b/>
          <w:bCs/>
          <w:sz w:val="24"/>
          <w:szCs w:val="24"/>
          <w:u w:val="single"/>
        </w:rPr>
      </w:pPr>
    </w:p>
    <w:p w:rsidR="007A61F5" w:rsidRDefault="007A61F5" w:rsidP="007A61F5">
      <w:pPr>
        <w:ind w:left="2880" w:firstLine="720"/>
        <w:jc w:val="both"/>
        <w:rPr>
          <w:rFonts w:ascii="Times New Roman" w:hAnsi="Times New Roman" w:cs="Times New Roman"/>
          <w:b/>
          <w:bCs/>
          <w:color w:val="2A2A2A"/>
          <w:sz w:val="24"/>
          <w:szCs w:val="24"/>
        </w:rPr>
      </w:pPr>
      <w:proofErr w:type="spellStart"/>
      <w:r>
        <w:rPr>
          <w:rFonts w:ascii="Times New Roman" w:hAnsi="Times New Roman" w:cs="Times New Roman"/>
          <w:b/>
          <w:bCs/>
          <w:color w:val="2A2A2A"/>
          <w:sz w:val="24"/>
          <w:szCs w:val="24"/>
        </w:rPr>
        <w:t>Mahmut</w:t>
      </w:r>
      <w:proofErr w:type="spellEnd"/>
      <w:r>
        <w:rPr>
          <w:rFonts w:ascii="Times New Roman" w:hAnsi="Times New Roman" w:cs="Times New Roman"/>
          <w:b/>
          <w:bCs/>
          <w:color w:val="2A2A2A"/>
          <w:sz w:val="24"/>
          <w:szCs w:val="24"/>
        </w:rPr>
        <w:t xml:space="preserve"> ERDEMLİ</w:t>
      </w:r>
      <w:r>
        <w:rPr>
          <w:rStyle w:val="DipnotBavurusu"/>
          <w:rFonts w:ascii="Times New Roman" w:hAnsi="Times New Roman" w:cs="Times New Roman"/>
          <w:sz w:val="24"/>
          <w:szCs w:val="24"/>
        </w:rPr>
        <w:footnoteReference w:customMarkFollows="1" w:id="1"/>
        <w:t>*</w:t>
      </w:r>
    </w:p>
    <w:p w:rsidR="00703CEE" w:rsidRPr="00F93325" w:rsidRDefault="000534EB" w:rsidP="00F93325">
      <w:pPr>
        <w:spacing w:after="105" w:line="240" w:lineRule="auto"/>
        <w:jc w:val="center"/>
        <w:rPr>
          <w:rFonts w:ascii="Times New Roman" w:hAnsi="Times New Roman" w:cs="Times New Roman"/>
          <w:b/>
          <w:bCs/>
          <w:color w:val="2A2A2A"/>
          <w:sz w:val="24"/>
          <w:szCs w:val="24"/>
          <w:lang w:eastAsia="en-GB"/>
        </w:rPr>
      </w:pPr>
      <w:proofErr w:type="gramStart"/>
      <w:r>
        <w:rPr>
          <w:rFonts w:ascii="Times New Roman" w:hAnsi="Times New Roman" w:cs="Times New Roman"/>
          <w:b/>
          <w:bCs/>
          <w:color w:val="2A2A2A"/>
          <w:sz w:val="24"/>
          <w:szCs w:val="24"/>
          <w:lang w:eastAsia="en-GB"/>
        </w:rPr>
        <w:t xml:space="preserve">İstanbul </w:t>
      </w:r>
      <w:proofErr w:type="spellStart"/>
      <w:r>
        <w:rPr>
          <w:rFonts w:ascii="Times New Roman" w:hAnsi="Times New Roman" w:cs="Times New Roman"/>
          <w:b/>
          <w:bCs/>
          <w:color w:val="2A2A2A"/>
          <w:sz w:val="24"/>
          <w:szCs w:val="24"/>
          <w:lang w:eastAsia="en-GB"/>
        </w:rPr>
        <w:t>Anadolu</w:t>
      </w:r>
      <w:proofErr w:type="spellEnd"/>
      <w:r>
        <w:rPr>
          <w:rFonts w:ascii="Times New Roman" w:hAnsi="Times New Roman" w:cs="Times New Roman"/>
          <w:b/>
          <w:bCs/>
          <w:color w:val="2A2A2A"/>
          <w:sz w:val="24"/>
          <w:szCs w:val="24"/>
          <w:lang w:eastAsia="en-GB"/>
        </w:rPr>
        <w:t xml:space="preserve"> 29</w:t>
      </w:r>
      <w:r w:rsidR="00703CEE" w:rsidRPr="00F93325">
        <w:rPr>
          <w:rFonts w:ascii="Times New Roman" w:hAnsi="Times New Roman" w:cs="Times New Roman"/>
          <w:b/>
          <w:bCs/>
          <w:color w:val="2A2A2A"/>
          <w:sz w:val="24"/>
          <w:szCs w:val="24"/>
          <w:lang w:eastAsia="en-GB"/>
        </w:rPr>
        <w:t>.</w:t>
      </w:r>
      <w:proofErr w:type="gramEnd"/>
      <w:r w:rsidR="00703CEE">
        <w:rPr>
          <w:rFonts w:ascii="Times New Roman" w:hAnsi="Times New Roman" w:cs="Times New Roman"/>
          <w:b/>
          <w:bCs/>
          <w:color w:val="2A2A2A"/>
          <w:sz w:val="24"/>
          <w:szCs w:val="24"/>
          <w:lang w:eastAsia="en-GB"/>
        </w:rPr>
        <w:t xml:space="preserve"> </w:t>
      </w:r>
      <w:proofErr w:type="spellStart"/>
      <w:r w:rsidR="00703CEE" w:rsidRPr="00F93325">
        <w:rPr>
          <w:rFonts w:ascii="Times New Roman" w:hAnsi="Times New Roman" w:cs="Times New Roman"/>
          <w:b/>
          <w:bCs/>
          <w:color w:val="2A2A2A"/>
          <w:sz w:val="24"/>
          <w:szCs w:val="24"/>
          <w:lang w:eastAsia="en-GB"/>
        </w:rPr>
        <w:t>Asliye</w:t>
      </w:r>
      <w:proofErr w:type="spellEnd"/>
      <w:r>
        <w:rPr>
          <w:rFonts w:ascii="Times New Roman" w:hAnsi="Times New Roman" w:cs="Times New Roman"/>
          <w:b/>
          <w:bCs/>
          <w:color w:val="2A2A2A"/>
          <w:sz w:val="24"/>
          <w:szCs w:val="24"/>
          <w:lang w:eastAsia="en-GB"/>
        </w:rPr>
        <w:t xml:space="preserve"> </w:t>
      </w:r>
      <w:proofErr w:type="spellStart"/>
      <w:r w:rsidR="00703CEE" w:rsidRPr="00F93325">
        <w:rPr>
          <w:rFonts w:ascii="Times New Roman" w:hAnsi="Times New Roman" w:cs="Times New Roman"/>
          <w:b/>
          <w:bCs/>
          <w:color w:val="2A2A2A"/>
          <w:sz w:val="24"/>
          <w:szCs w:val="24"/>
          <w:lang w:eastAsia="en-GB"/>
        </w:rPr>
        <w:t>Ceza</w:t>
      </w:r>
      <w:proofErr w:type="spellEnd"/>
      <w:r>
        <w:rPr>
          <w:rFonts w:ascii="Times New Roman" w:hAnsi="Times New Roman" w:cs="Times New Roman"/>
          <w:b/>
          <w:bCs/>
          <w:color w:val="2A2A2A"/>
          <w:sz w:val="24"/>
          <w:szCs w:val="24"/>
          <w:lang w:eastAsia="en-GB"/>
        </w:rPr>
        <w:t xml:space="preserve"> </w:t>
      </w:r>
      <w:proofErr w:type="spellStart"/>
      <w:r>
        <w:rPr>
          <w:rFonts w:ascii="Times New Roman" w:hAnsi="Times New Roman" w:cs="Times New Roman"/>
          <w:b/>
          <w:bCs/>
          <w:color w:val="2A2A2A"/>
          <w:sz w:val="24"/>
          <w:szCs w:val="24"/>
          <w:lang w:eastAsia="en-GB"/>
        </w:rPr>
        <w:t>Mahkemesi</w:t>
      </w:r>
      <w:proofErr w:type="spellEnd"/>
      <w:r>
        <w:rPr>
          <w:rFonts w:ascii="Times New Roman" w:hAnsi="Times New Roman" w:cs="Times New Roman"/>
          <w:b/>
          <w:bCs/>
          <w:color w:val="2A2A2A"/>
          <w:sz w:val="24"/>
          <w:szCs w:val="24"/>
          <w:lang w:eastAsia="en-GB"/>
        </w:rPr>
        <w:t xml:space="preserve"> </w:t>
      </w:r>
      <w:proofErr w:type="spellStart"/>
      <w:r w:rsidR="00703CEE" w:rsidRPr="00F93325">
        <w:rPr>
          <w:rFonts w:ascii="Times New Roman" w:hAnsi="Times New Roman" w:cs="Times New Roman"/>
          <w:b/>
          <w:bCs/>
          <w:color w:val="2A2A2A"/>
          <w:sz w:val="24"/>
          <w:szCs w:val="24"/>
          <w:lang w:eastAsia="en-GB"/>
        </w:rPr>
        <w:t>Hakimi</w:t>
      </w:r>
      <w:proofErr w:type="spellEnd"/>
    </w:p>
    <w:p w:rsidR="00703CEE" w:rsidRDefault="00703CEE" w:rsidP="00F93325">
      <w:pPr>
        <w:spacing w:after="105" w:line="240" w:lineRule="auto"/>
        <w:jc w:val="both"/>
        <w:rPr>
          <w:rFonts w:ascii="Times New Roman" w:hAnsi="Times New Roman" w:cs="Times New Roman"/>
          <w:b/>
          <w:bCs/>
          <w:color w:val="2A2A2A"/>
          <w:sz w:val="24"/>
          <w:szCs w:val="24"/>
          <w:lang w:eastAsia="en-GB"/>
        </w:rPr>
      </w:pPr>
      <w:r w:rsidRPr="00F93325">
        <w:rPr>
          <w:rFonts w:ascii="Times New Roman" w:hAnsi="Times New Roman" w:cs="Times New Roman"/>
          <w:b/>
          <w:bCs/>
          <w:color w:val="2A2A2A"/>
          <w:sz w:val="24"/>
          <w:szCs w:val="24"/>
          <w:lang w:eastAsia="en-GB"/>
        </w:rPr>
        <w:tab/>
      </w:r>
      <w:r w:rsidRPr="00F93325">
        <w:rPr>
          <w:rFonts w:ascii="Times New Roman" w:hAnsi="Times New Roman" w:cs="Times New Roman"/>
          <w:b/>
          <w:bCs/>
          <w:color w:val="2A2A2A"/>
          <w:sz w:val="24"/>
          <w:szCs w:val="24"/>
          <w:lang w:eastAsia="en-GB"/>
        </w:rPr>
        <w:tab/>
      </w:r>
      <w:r w:rsidRPr="00F93325">
        <w:rPr>
          <w:rFonts w:ascii="Times New Roman" w:hAnsi="Times New Roman" w:cs="Times New Roman"/>
          <w:b/>
          <w:bCs/>
          <w:color w:val="2A2A2A"/>
          <w:sz w:val="24"/>
          <w:szCs w:val="24"/>
          <w:lang w:eastAsia="en-GB"/>
        </w:rPr>
        <w:tab/>
      </w:r>
      <w:r w:rsidRPr="00F93325">
        <w:rPr>
          <w:rFonts w:ascii="Times New Roman" w:hAnsi="Times New Roman" w:cs="Times New Roman"/>
          <w:b/>
          <w:bCs/>
          <w:color w:val="2A2A2A"/>
          <w:sz w:val="24"/>
          <w:szCs w:val="24"/>
          <w:lang w:eastAsia="en-GB"/>
        </w:rPr>
        <w:tab/>
      </w:r>
      <w:r w:rsidRPr="00F93325">
        <w:rPr>
          <w:rFonts w:ascii="Times New Roman" w:hAnsi="Times New Roman" w:cs="Times New Roman"/>
          <w:b/>
          <w:bCs/>
          <w:color w:val="2A2A2A"/>
          <w:sz w:val="24"/>
          <w:szCs w:val="24"/>
          <w:lang w:eastAsia="en-GB"/>
        </w:rPr>
        <w:tab/>
      </w:r>
    </w:p>
    <w:p w:rsidR="00703CEE" w:rsidRPr="00F93325" w:rsidRDefault="00703CEE" w:rsidP="00F93325">
      <w:pPr>
        <w:spacing w:after="105" w:line="240" w:lineRule="auto"/>
        <w:jc w:val="center"/>
        <w:rPr>
          <w:rFonts w:ascii="Times New Roman" w:hAnsi="Times New Roman" w:cs="Times New Roman"/>
          <w:b/>
          <w:bCs/>
          <w:color w:val="2A2A2A"/>
          <w:sz w:val="24"/>
          <w:szCs w:val="24"/>
          <w:lang w:eastAsia="en-GB"/>
        </w:rPr>
      </w:pPr>
      <w:r w:rsidRPr="00F93325">
        <w:rPr>
          <w:rFonts w:ascii="Times New Roman" w:hAnsi="Times New Roman" w:cs="Times New Roman"/>
          <w:b/>
          <w:bCs/>
          <w:color w:val="2A2A2A"/>
          <w:sz w:val="24"/>
          <w:szCs w:val="24"/>
          <w:lang w:eastAsia="en-GB"/>
        </w:rPr>
        <w:t>ABSTRACT</w:t>
      </w:r>
    </w:p>
    <w:p w:rsidR="00703CEE" w:rsidRPr="00F93325" w:rsidRDefault="00703CEE" w:rsidP="00F93325">
      <w:pPr>
        <w:spacing w:after="105" w:line="240" w:lineRule="auto"/>
        <w:jc w:val="both"/>
        <w:rPr>
          <w:rFonts w:ascii="Times New Roman" w:hAnsi="Times New Roman" w:cs="Times New Roman"/>
          <w:color w:val="2A2A2A"/>
          <w:sz w:val="24"/>
          <w:szCs w:val="24"/>
          <w:lang w:eastAsia="en-GB"/>
        </w:rPr>
      </w:pPr>
      <w:r w:rsidRPr="00F93325">
        <w:rPr>
          <w:rFonts w:ascii="Times New Roman" w:hAnsi="Times New Roman" w:cs="Times New Roman"/>
          <w:color w:val="2A2A2A"/>
          <w:sz w:val="24"/>
          <w:szCs w:val="24"/>
          <w:lang w:eastAsia="en-GB"/>
        </w:rPr>
        <w:t xml:space="preserve">The right to a fair trial with certain safeguards concerns the individuals who face the risk of being deprived of liberty or other types of sanctions.  As other rights are protected mostly via courts, procedural guarantees and a fair trial are pre-requisites of protection of other rights. </w:t>
      </w:r>
    </w:p>
    <w:p w:rsidR="00703CEE" w:rsidRPr="00F93325" w:rsidRDefault="00703CEE" w:rsidP="00F93325">
      <w:pPr>
        <w:spacing w:after="105" w:line="240" w:lineRule="auto"/>
        <w:jc w:val="both"/>
        <w:rPr>
          <w:rFonts w:ascii="Times New Roman" w:hAnsi="Times New Roman" w:cs="Times New Roman"/>
          <w:color w:val="2A2A2A"/>
          <w:sz w:val="24"/>
          <w:szCs w:val="24"/>
          <w:lang w:eastAsia="en-GB"/>
        </w:rPr>
      </w:pPr>
      <w:r w:rsidRPr="00F93325">
        <w:rPr>
          <w:rFonts w:ascii="Times New Roman" w:hAnsi="Times New Roman" w:cs="Times New Roman"/>
          <w:color w:val="2A2A2A"/>
          <w:sz w:val="24"/>
          <w:szCs w:val="24"/>
          <w:lang w:eastAsia="en-GB"/>
        </w:rPr>
        <w:t xml:space="preserve">This paper attempts to spell out the general principles of IHRL governing the conduct of criminal trials. Due to its limited space, the examination is principally limited to the legal instruments of general international law, thus excluding the regional legal documents and the work of regional treaty bodies. However, the principles that have been determined by general human rights law supervisory bodies are far from sufficient to answer all the questions. Therefore, where needed, </w:t>
      </w:r>
      <w:proofErr w:type="gramStart"/>
      <w:r w:rsidRPr="00F93325">
        <w:rPr>
          <w:rFonts w:ascii="Times New Roman" w:hAnsi="Times New Roman" w:cs="Times New Roman"/>
          <w:color w:val="2A2A2A"/>
          <w:sz w:val="24"/>
          <w:szCs w:val="24"/>
          <w:lang w:eastAsia="en-GB"/>
        </w:rPr>
        <w:t>the</w:t>
      </w:r>
      <w:proofErr w:type="gramEnd"/>
      <w:r w:rsidRPr="00F93325">
        <w:rPr>
          <w:rFonts w:ascii="Times New Roman" w:hAnsi="Times New Roman" w:cs="Times New Roman"/>
          <w:color w:val="2A2A2A"/>
          <w:sz w:val="24"/>
          <w:szCs w:val="24"/>
          <w:lang w:eastAsia="en-GB"/>
        </w:rPr>
        <w:t xml:space="preserve"> expansive case law of the European Court of Human Rights will be resorted to. </w:t>
      </w:r>
    </w:p>
    <w:p w:rsidR="00703CEE" w:rsidRPr="00F93325" w:rsidRDefault="00703CEE" w:rsidP="00F93325">
      <w:pPr>
        <w:spacing w:after="105" w:line="240" w:lineRule="auto"/>
        <w:jc w:val="both"/>
        <w:rPr>
          <w:rFonts w:ascii="Times New Roman" w:hAnsi="Times New Roman" w:cs="Times New Roman"/>
          <w:color w:val="2A2A2A"/>
          <w:sz w:val="24"/>
          <w:szCs w:val="24"/>
          <w:lang w:eastAsia="en-GB"/>
        </w:rPr>
      </w:pPr>
      <w:r w:rsidRPr="00F93325">
        <w:rPr>
          <w:rFonts w:ascii="Times New Roman" w:hAnsi="Times New Roman" w:cs="Times New Roman"/>
          <w:color w:val="2A2A2A"/>
          <w:sz w:val="24"/>
          <w:szCs w:val="24"/>
          <w:lang w:eastAsia="en-GB"/>
        </w:rPr>
        <w:t xml:space="preserve">Coverage is vast, but has been gradually clarified by comments and decisions of HR bodies over the last 50 years.  As the case law of HR treaty bodies has developed, state parties to HRT treaties have adjusted their justice systems accordingly, creating substantial improvements in HR in those states. </w:t>
      </w:r>
    </w:p>
    <w:p w:rsidR="00703CEE" w:rsidRPr="00F93325" w:rsidRDefault="00703CEE" w:rsidP="00F93325">
      <w:pPr>
        <w:spacing w:after="105" w:line="240" w:lineRule="auto"/>
        <w:jc w:val="both"/>
        <w:rPr>
          <w:rFonts w:ascii="Times New Roman" w:hAnsi="Times New Roman" w:cs="Times New Roman"/>
          <w:color w:val="2A2A2A"/>
          <w:sz w:val="24"/>
          <w:szCs w:val="24"/>
          <w:lang w:eastAsia="en-GB"/>
        </w:rPr>
      </w:pPr>
      <w:r w:rsidRPr="00F93325">
        <w:rPr>
          <w:rFonts w:ascii="Times New Roman" w:hAnsi="Times New Roman" w:cs="Times New Roman"/>
          <w:color w:val="2A2A2A"/>
          <w:sz w:val="24"/>
          <w:szCs w:val="24"/>
          <w:lang w:eastAsia="en-GB"/>
        </w:rPr>
        <w:t xml:space="preserve">The </w:t>
      </w:r>
      <w:proofErr w:type="spellStart"/>
      <w:r w:rsidRPr="00F93325">
        <w:rPr>
          <w:rFonts w:ascii="Times New Roman" w:hAnsi="Times New Roman" w:cs="Times New Roman"/>
          <w:color w:val="2A2A2A"/>
          <w:sz w:val="24"/>
          <w:szCs w:val="24"/>
          <w:lang w:eastAsia="en-GB"/>
        </w:rPr>
        <w:t>ECtHR</w:t>
      </w:r>
      <w:proofErr w:type="spellEnd"/>
      <w:r w:rsidRPr="00F93325">
        <w:rPr>
          <w:rFonts w:ascii="Times New Roman" w:hAnsi="Times New Roman" w:cs="Times New Roman"/>
          <w:color w:val="2A2A2A"/>
          <w:sz w:val="24"/>
          <w:szCs w:val="24"/>
          <w:lang w:eastAsia="en-GB"/>
        </w:rPr>
        <w:t xml:space="preserve"> has largely done its part, but the general IHRL system is underdeveloped in some areas, including requirements for reasoned judgment and judgment within a reasonable period of time. Perhaps it is the non-binding nature of HRC’S decisions that deters individuals from making applications for HR violations, thus limiting clarification of that aspect. </w:t>
      </w:r>
    </w:p>
    <w:p w:rsidR="00703CEE" w:rsidRPr="00F93325" w:rsidRDefault="00703CEE" w:rsidP="00F93325">
      <w:pPr>
        <w:spacing w:after="105" w:line="240" w:lineRule="auto"/>
        <w:jc w:val="both"/>
        <w:rPr>
          <w:rFonts w:ascii="Times New Roman" w:hAnsi="Times New Roman" w:cs="Times New Roman"/>
          <w:color w:val="2A2A2A"/>
          <w:sz w:val="24"/>
          <w:szCs w:val="24"/>
          <w:lang w:eastAsia="en-GB"/>
        </w:rPr>
      </w:pPr>
      <w:r w:rsidRPr="00F93325">
        <w:rPr>
          <w:rFonts w:ascii="Times New Roman" w:hAnsi="Times New Roman" w:cs="Times New Roman"/>
          <w:color w:val="2A2A2A"/>
          <w:sz w:val="24"/>
          <w:szCs w:val="24"/>
          <w:lang w:eastAsia="en-GB"/>
        </w:rPr>
        <w:t xml:space="preserve">Since jurisprudence of the </w:t>
      </w:r>
      <w:proofErr w:type="spellStart"/>
      <w:r w:rsidRPr="00F93325">
        <w:rPr>
          <w:rFonts w:ascii="Times New Roman" w:hAnsi="Times New Roman" w:cs="Times New Roman"/>
          <w:color w:val="2A2A2A"/>
          <w:sz w:val="24"/>
          <w:szCs w:val="24"/>
          <w:lang w:eastAsia="en-GB"/>
        </w:rPr>
        <w:t>ECtHR</w:t>
      </w:r>
      <w:proofErr w:type="spellEnd"/>
      <w:r w:rsidRPr="00F93325">
        <w:rPr>
          <w:rFonts w:ascii="Times New Roman" w:hAnsi="Times New Roman" w:cs="Times New Roman"/>
          <w:color w:val="2A2A2A"/>
          <w:sz w:val="24"/>
          <w:szCs w:val="24"/>
          <w:lang w:eastAsia="en-GB"/>
        </w:rPr>
        <w:t xml:space="preserve"> mainly affects states that are members of the Council of Europe, the Human Rights Committee (whose decisions affect 167 states that are parties to the IC</w:t>
      </w:r>
      <w:r>
        <w:rPr>
          <w:rFonts w:ascii="Times New Roman" w:hAnsi="Times New Roman" w:cs="Times New Roman"/>
          <w:color w:val="2A2A2A"/>
          <w:sz w:val="24"/>
          <w:szCs w:val="24"/>
          <w:lang w:eastAsia="en-GB"/>
        </w:rPr>
        <w:t xml:space="preserve">CPR) should be more productive </w:t>
      </w:r>
      <w:r w:rsidRPr="00F93325">
        <w:rPr>
          <w:rFonts w:ascii="Times New Roman" w:hAnsi="Times New Roman" w:cs="Times New Roman"/>
          <w:color w:val="2A2A2A"/>
          <w:sz w:val="24"/>
          <w:szCs w:val="24"/>
          <w:lang w:eastAsia="en-GB"/>
        </w:rPr>
        <w:t>of decisions in determining the content of the rights in question. This would serve to unify, at an international level, the criteria for quality administration of justice that is ‘sine qua non’ in safeguarding other HR, especially those minority rights which have constantly been violated by states.</w:t>
      </w:r>
    </w:p>
    <w:p w:rsidR="00703CEE" w:rsidRPr="00F93325" w:rsidRDefault="00703CEE" w:rsidP="00F93325">
      <w:pPr>
        <w:spacing w:after="105" w:line="240" w:lineRule="auto"/>
        <w:jc w:val="both"/>
        <w:rPr>
          <w:rFonts w:ascii="Times New Roman" w:hAnsi="Times New Roman" w:cs="Times New Roman"/>
          <w:color w:val="2A2A2A"/>
          <w:sz w:val="24"/>
          <w:szCs w:val="24"/>
          <w:lang w:eastAsia="en-GB"/>
        </w:rPr>
      </w:pPr>
    </w:p>
    <w:p w:rsidR="00703CEE" w:rsidRPr="00F93325" w:rsidRDefault="00703CEE" w:rsidP="00F93325">
      <w:pPr>
        <w:spacing w:after="105" w:line="240" w:lineRule="auto"/>
        <w:jc w:val="both"/>
        <w:rPr>
          <w:rFonts w:ascii="Times New Roman" w:hAnsi="Times New Roman" w:cs="Times New Roman"/>
          <w:color w:val="2A2A2A"/>
          <w:sz w:val="24"/>
          <w:szCs w:val="24"/>
          <w:lang w:eastAsia="en-GB"/>
        </w:rPr>
      </w:pPr>
      <w:r w:rsidRPr="00F93325">
        <w:rPr>
          <w:rFonts w:ascii="Times New Roman" w:hAnsi="Times New Roman" w:cs="Times New Roman"/>
          <w:b/>
          <w:bCs/>
          <w:color w:val="2A2A2A"/>
          <w:sz w:val="24"/>
          <w:szCs w:val="24"/>
          <w:lang w:eastAsia="en-GB"/>
        </w:rPr>
        <w:t>Keywords:</w:t>
      </w:r>
      <w:r w:rsidRPr="00F93325">
        <w:rPr>
          <w:rFonts w:ascii="Times New Roman" w:hAnsi="Times New Roman" w:cs="Times New Roman"/>
          <w:color w:val="2A2A2A"/>
          <w:sz w:val="24"/>
          <w:szCs w:val="24"/>
          <w:lang w:eastAsia="en-GB"/>
        </w:rPr>
        <w:t xml:space="preserve"> procedural guarantees, criminal law, fair trial, work of regional and international human rights bodies.</w:t>
      </w:r>
    </w:p>
    <w:p w:rsidR="00703CEE" w:rsidRPr="00F93325" w:rsidRDefault="00703CEE" w:rsidP="00F93325">
      <w:pPr>
        <w:spacing w:after="105" w:line="240" w:lineRule="auto"/>
        <w:jc w:val="both"/>
        <w:rPr>
          <w:rFonts w:ascii="Times New Roman" w:hAnsi="Times New Roman" w:cs="Times New Roman"/>
          <w:b/>
          <w:bCs/>
          <w:color w:val="2A2A2A"/>
          <w:sz w:val="24"/>
          <w:szCs w:val="24"/>
          <w:lang w:eastAsia="en-GB"/>
        </w:rPr>
      </w:pPr>
    </w:p>
    <w:p w:rsidR="00703CEE" w:rsidRPr="00F93325" w:rsidRDefault="00703CEE" w:rsidP="00F93325">
      <w:pPr>
        <w:spacing w:after="105" w:line="240" w:lineRule="auto"/>
        <w:jc w:val="both"/>
        <w:rPr>
          <w:rFonts w:ascii="Times New Roman" w:hAnsi="Times New Roman" w:cs="Times New Roman"/>
          <w:b/>
          <w:bCs/>
          <w:color w:val="2A2A2A"/>
          <w:sz w:val="24"/>
          <w:szCs w:val="24"/>
          <w:lang w:eastAsia="en-GB"/>
        </w:rPr>
      </w:pPr>
    </w:p>
    <w:p w:rsidR="006D4C03" w:rsidRPr="009764D2" w:rsidRDefault="006D4C03" w:rsidP="006D4C03">
      <w:pPr>
        <w:spacing w:after="105" w:line="240" w:lineRule="auto"/>
        <w:jc w:val="center"/>
        <w:rPr>
          <w:rFonts w:ascii="Times New Roman" w:hAnsi="Times New Roman" w:cs="Times New Roman"/>
          <w:color w:val="2A2A2A"/>
          <w:sz w:val="20"/>
          <w:szCs w:val="20"/>
          <w:lang w:eastAsia="en-GB"/>
        </w:rPr>
      </w:pPr>
      <w:r>
        <w:rPr>
          <w:rFonts w:ascii="Times New Roman" w:hAnsi="Times New Roman" w:cs="Times New Roman"/>
          <w:color w:val="2A2A2A"/>
          <w:sz w:val="20"/>
          <w:szCs w:val="20"/>
          <w:lang w:eastAsia="en-GB"/>
        </w:rPr>
        <w:t xml:space="preserve">CEZA YARGILAMALARI: </w:t>
      </w:r>
      <w:proofErr w:type="spellStart"/>
      <w:r>
        <w:rPr>
          <w:rFonts w:ascii="Times New Roman" w:hAnsi="Times New Roman" w:cs="Times New Roman"/>
          <w:color w:val="2A2A2A"/>
          <w:sz w:val="20"/>
          <w:szCs w:val="20"/>
          <w:lang w:eastAsia="en-GB"/>
        </w:rPr>
        <w:t>Uluslararası</w:t>
      </w:r>
      <w:proofErr w:type="spellEnd"/>
      <w:r>
        <w:rPr>
          <w:rFonts w:ascii="Times New Roman" w:hAnsi="Times New Roman" w:cs="Times New Roman"/>
          <w:color w:val="2A2A2A"/>
          <w:sz w:val="20"/>
          <w:szCs w:val="20"/>
          <w:lang w:eastAsia="en-GB"/>
        </w:rPr>
        <w:t xml:space="preserve"> </w:t>
      </w:r>
      <w:proofErr w:type="spellStart"/>
      <w:r>
        <w:rPr>
          <w:rFonts w:ascii="Times New Roman" w:hAnsi="Times New Roman" w:cs="Times New Roman"/>
          <w:color w:val="2A2A2A"/>
          <w:sz w:val="20"/>
          <w:szCs w:val="20"/>
          <w:lang w:eastAsia="en-GB"/>
        </w:rPr>
        <w:t>İnsan</w:t>
      </w:r>
      <w:proofErr w:type="spellEnd"/>
      <w:r>
        <w:rPr>
          <w:rFonts w:ascii="Times New Roman" w:hAnsi="Times New Roman" w:cs="Times New Roman"/>
          <w:color w:val="2A2A2A"/>
          <w:sz w:val="20"/>
          <w:szCs w:val="20"/>
          <w:lang w:eastAsia="en-GB"/>
        </w:rPr>
        <w:t xml:space="preserve"> </w:t>
      </w:r>
      <w:proofErr w:type="spellStart"/>
      <w:r>
        <w:rPr>
          <w:rFonts w:ascii="Times New Roman" w:hAnsi="Times New Roman" w:cs="Times New Roman"/>
          <w:color w:val="2A2A2A"/>
          <w:sz w:val="20"/>
          <w:szCs w:val="20"/>
          <w:lang w:eastAsia="en-GB"/>
        </w:rPr>
        <w:t>Hakları</w:t>
      </w:r>
      <w:proofErr w:type="spellEnd"/>
      <w:r>
        <w:rPr>
          <w:rFonts w:ascii="Times New Roman" w:hAnsi="Times New Roman" w:cs="Times New Roman"/>
          <w:color w:val="2A2A2A"/>
          <w:sz w:val="20"/>
          <w:szCs w:val="20"/>
          <w:lang w:eastAsia="en-GB"/>
        </w:rPr>
        <w:t xml:space="preserve"> </w:t>
      </w:r>
      <w:proofErr w:type="spellStart"/>
      <w:r>
        <w:rPr>
          <w:rFonts w:ascii="Times New Roman" w:hAnsi="Times New Roman" w:cs="Times New Roman"/>
          <w:color w:val="2A2A2A"/>
          <w:sz w:val="20"/>
          <w:szCs w:val="20"/>
          <w:lang w:eastAsia="en-GB"/>
        </w:rPr>
        <w:t>Hukuku</w:t>
      </w:r>
      <w:proofErr w:type="spellEnd"/>
      <w:r>
        <w:rPr>
          <w:rFonts w:ascii="Times New Roman" w:hAnsi="Times New Roman" w:cs="Times New Roman"/>
          <w:color w:val="2A2A2A"/>
          <w:sz w:val="20"/>
          <w:szCs w:val="20"/>
          <w:lang w:eastAsia="en-GB"/>
        </w:rPr>
        <w:t xml:space="preserve"> </w:t>
      </w:r>
      <w:proofErr w:type="spellStart"/>
      <w:r>
        <w:rPr>
          <w:rFonts w:ascii="Times New Roman" w:hAnsi="Times New Roman" w:cs="Times New Roman"/>
          <w:color w:val="2A2A2A"/>
          <w:sz w:val="20"/>
          <w:szCs w:val="20"/>
          <w:lang w:eastAsia="en-GB"/>
        </w:rPr>
        <w:t>Hangi</w:t>
      </w:r>
      <w:proofErr w:type="spellEnd"/>
      <w:r>
        <w:rPr>
          <w:rFonts w:ascii="Times New Roman" w:hAnsi="Times New Roman" w:cs="Times New Roman"/>
          <w:color w:val="2A2A2A"/>
          <w:sz w:val="20"/>
          <w:szCs w:val="20"/>
          <w:lang w:eastAsia="en-GB"/>
        </w:rPr>
        <w:t xml:space="preserve"> </w:t>
      </w:r>
      <w:proofErr w:type="spellStart"/>
      <w:r>
        <w:rPr>
          <w:rFonts w:ascii="Times New Roman" w:hAnsi="Times New Roman" w:cs="Times New Roman"/>
          <w:color w:val="2A2A2A"/>
          <w:sz w:val="20"/>
          <w:szCs w:val="20"/>
          <w:lang w:eastAsia="en-GB"/>
        </w:rPr>
        <w:t>Garantileri</w:t>
      </w:r>
      <w:proofErr w:type="spellEnd"/>
      <w:r>
        <w:rPr>
          <w:rFonts w:ascii="Times New Roman" w:hAnsi="Times New Roman" w:cs="Times New Roman"/>
          <w:color w:val="2A2A2A"/>
          <w:sz w:val="20"/>
          <w:szCs w:val="20"/>
          <w:lang w:eastAsia="en-GB"/>
        </w:rPr>
        <w:t xml:space="preserve"> </w:t>
      </w:r>
      <w:proofErr w:type="spellStart"/>
      <w:r>
        <w:rPr>
          <w:rFonts w:ascii="Times New Roman" w:hAnsi="Times New Roman" w:cs="Times New Roman"/>
          <w:color w:val="2A2A2A"/>
          <w:sz w:val="20"/>
          <w:szCs w:val="20"/>
          <w:lang w:eastAsia="en-GB"/>
        </w:rPr>
        <w:t>Sunmaktadır</w:t>
      </w:r>
      <w:proofErr w:type="spellEnd"/>
      <w:r>
        <w:rPr>
          <w:rFonts w:ascii="Times New Roman" w:hAnsi="Times New Roman" w:cs="Times New Roman"/>
          <w:color w:val="2A2A2A"/>
          <w:sz w:val="20"/>
          <w:szCs w:val="20"/>
          <w:lang w:eastAsia="en-GB"/>
        </w:rPr>
        <w:t>?</w:t>
      </w:r>
    </w:p>
    <w:p w:rsidR="006D4C03" w:rsidRDefault="006D4C03" w:rsidP="006D4C03">
      <w:pPr>
        <w:ind w:left="2880" w:firstLine="720"/>
        <w:jc w:val="both"/>
        <w:rPr>
          <w:rFonts w:ascii="Times New Roman" w:hAnsi="Times New Roman" w:cs="Times New Roman"/>
          <w:b/>
          <w:bCs/>
          <w:color w:val="2A2A2A"/>
          <w:sz w:val="24"/>
          <w:szCs w:val="24"/>
        </w:rPr>
      </w:pPr>
    </w:p>
    <w:p w:rsidR="006D4C03" w:rsidRDefault="006D4C03" w:rsidP="006D4C03">
      <w:pPr>
        <w:ind w:left="2880" w:firstLine="720"/>
        <w:jc w:val="both"/>
        <w:rPr>
          <w:rFonts w:ascii="Times New Roman" w:hAnsi="Times New Roman" w:cs="Times New Roman"/>
          <w:b/>
          <w:bCs/>
          <w:color w:val="2A2A2A"/>
          <w:sz w:val="24"/>
          <w:szCs w:val="24"/>
        </w:rPr>
      </w:pPr>
      <w:proofErr w:type="spellStart"/>
      <w:r>
        <w:rPr>
          <w:rFonts w:ascii="Times New Roman" w:hAnsi="Times New Roman" w:cs="Times New Roman"/>
          <w:b/>
          <w:bCs/>
          <w:color w:val="2A2A2A"/>
          <w:sz w:val="24"/>
          <w:szCs w:val="24"/>
        </w:rPr>
        <w:t>Mahmut</w:t>
      </w:r>
      <w:proofErr w:type="spellEnd"/>
      <w:r>
        <w:rPr>
          <w:rFonts w:ascii="Times New Roman" w:hAnsi="Times New Roman" w:cs="Times New Roman"/>
          <w:b/>
          <w:bCs/>
          <w:color w:val="2A2A2A"/>
          <w:sz w:val="24"/>
          <w:szCs w:val="24"/>
        </w:rPr>
        <w:t xml:space="preserve"> ERDEMLİ</w:t>
      </w:r>
      <w:r>
        <w:rPr>
          <w:rStyle w:val="DipnotBavurusu"/>
          <w:rFonts w:ascii="Times New Roman" w:hAnsi="Times New Roman" w:cs="Times New Roman"/>
          <w:sz w:val="24"/>
          <w:szCs w:val="24"/>
        </w:rPr>
        <w:footnoteReference w:customMarkFollows="1" w:id="2"/>
        <w:t>*</w:t>
      </w:r>
    </w:p>
    <w:p w:rsidR="006D4C03" w:rsidRPr="00F93325" w:rsidRDefault="006D4C03" w:rsidP="006D4C03">
      <w:pPr>
        <w:spacing w:after="105" w:line="240" w:lineRule="auto"/>
        <w:jc w:val="center"/>
        <w:rPr>
          <w:rFonts w:ascii="Times New Roman" w:hAnsi="Times New Roman" w:cs="Times New Roman"/>
          <w:b/>
          <w:bCs/>
          <w:color w:val="2A2A2A"/>
          <w:sz w:val="24"/>
          <w:szCs w:val="24"/>
          <w:lang w:eastAsia="en-GB"/>
        </w:rPr>
      </w:pPr>
      <w:proofErr w:type="gramStart"/>
      <w:r>
        <w:rPr>
          <w:rFonts w:ascii="Times New Roman" w:hAnsi="Times New Roman" w:cs="Times New Roman"/>
          <w:b/>
          <w:bCs/>
          <w:color w:val="2A2A2A"/>
          <w:sz w:val="24"/>
          <w:szCs w:val="24"/>
          <w:lang w:eastAsia="en-GB"/>
        </w:rPr>
        <w:t xml:space="preserve">İstanbul </w:t>
      </w:r>
      <w:proofErr w:type="spellStart"/>
      <w:r>
        <w:rPr>
          <w:rFonts w:ascii="Times New Roman" w:hAnsi="Times New Roman" w:cs="Times New Roman"/>
          <w:b/>
          <w:bCs/>
          <w:color w:val="2A2A2A"/>
          <w:sz w:val="24"/>
          <w:szCs w:val="24"/>
          <w:lang w:eastAsia="en-GB"/>
        </w:rPr>
        <w:t>Anadolu</w:t>
      </w:r>
      <w:proofErr w:type="spellEnd"/>
      <w:r>
        <w:rPr>
          <w:rFonts w:ascii="Times New Roman" w:hAnsi="Times New Roman" w:cs="Times New Roman"/>
          <w:b/>
          <w:bCs/>
          <w:color w:val="2A2A2A"/>
          <w:sz w:val="24"/>
          <w:szCs w:val="24"/>
          <w:lang w:eastAsia="en-GB"/>
        </w:rPr>
        <w:t xml:space="preserve"> 29</w:t>
      </w:r>
      <w:r w:rsidRPr="00F93325">
        <w:rPr>
          <w:rFonts w:ascii="Times New Roman" w:hAnsi="Times New Roman" w:cs="Times New Roman"/>
          <w:b/>
          <w:bCs/>
          <w:color w:val="2A2A2A"/>
          <w:sz w:val="24"/>
          <w:szCs w:val="24"/>
          <w:lang w:eastAsia="en-GB"/>
        </w:rPr>
        <w:t>.</w:t>
      </w:r>
      <w:proofErr w:type="gramEnd"/>
      <w:r>
        <w:rPr>
          <w:rFonts w:ascii="Times New Roman" w:hAnsi="Times New Roman" w:cs="Times New Roman"/>
          <w:b/>
          <w:bCs/>
          <w:color w:val="2A2A2A"/>
          <w:sz w:val="24"/>
          <w:szCs w:val="24"/>
          <w:lang w:eastAsia="en-GB"/>
        </w:rPr>
        <w:t xml:space="preserve"> </w:t>
      </w:r>
      <w:proofErr w:type="spellStart"/>
      <w:r w:rsidRPr="00F93325">
        <w:rPr>
          <w:rFonts w:ascii="Times New Roman" w:hAnsi="Times New Roman" w:cs="Times New Roman"/>
          <w:b/>
          <w:bCs/>
          <w:color w:val="2A2A2A"/>
          <w:sz w:val="24"/>
          <w:szCs w:val="24"/>
          <w:lang w:eastAsia="en-GB"/>
        </w:rPr>
        <w:t>Asliye</w:t>
      </w:r>
      <w:proofErr w:type="spellEnd"/>
      <w:r>
        <w:rPr>
          <w:rFonts w:ascii="Times New Roman" w:hAnsi="Times New Roman" w:cs="Times New Roman"/>
          <w:b/>
          <w:bCs/>
          <w:color w:val="2A2A2A"/>
          <w:sz w:val="24"/>
          <w:szCs w:val="24"/>
          <w:lang w:eastAsia="en-GB"/>
        </w:rPr>
        <w:t xml:space="preserve"> </w:t>
      </w:r>
      <w:proofErr w:type="spellStart"/>
      <w:r w:rsidRPr="00F93325">
        <w:rPr>
          <w:rFonts w:ascii="Times New Roman" w:hAnsi="Times New Roman" w:cs="Times New Roman"/>
          <w:b/>
          <w:bCs/>
          <w:color w:val="2A2A2A"/>
          <w:sz w:val="24"/>
          <w:szCs w:val="24"/>
          <w:lang w:eastAsia="en-GB"/>
        </w:rPr>
        <w:t>Ceza</w:t>
      </w:r>
      <w:proofErr w:type="spellEnd"/>
      <w:r>
        <w:rPr>
          <w:rFonts w:ascii="Times New Roman" w:hAnsi="Times New Roman" w:cs="Times New Roman"/>
          <w:b/>
          <w:bCs/>
          <w:color w:val="2A2A2A"/>
          <w:sz w:val="24"/>
          <w:szCs w:val="24"/>
          <w:lang w:eastAsia="en-GB"/>
        </w:rPr>
        <w:t xml:space="preserve"> </w:t>
      </w:r>
      <w:proofErr w:type="spellStart"/>
      <w:r>
        <w:rPr>
          <w:rFonts w:ascii="Times New Roman" w:hAnsi="Times New Roman" w:cs="Times New Roman"/>
          <w:b/>
          <w:bCs/>
          <w:color w:val="2A2A2A"/>
          <w:sz w:val="24"/>
          <w:szCs w:val="24"/>
          <w:lang w:eastAsia="en-GB"/>
        </w:rPr>
        <w:t>Mahkemesi</w:t>
      </w:r>
      <w:proofErr w:type="spellEnd"/>
      <w:r>
        <w:rPr>
          <w:rFonts w:ascii="Times New Roman" w:hAnsi="Times New Roman" w:cs="Times New Roman"/>
          <w:b/>
          <w:bCs/>
          <w:color w:val="2A2A2A"/>
          <w:sz w:val="24"/>
          <w:szCs w:val="24"/>
          <w:lang w:eastAsia="en-GB"/>
        </w:rPr>
        <w:t xml:space="preserve"> </w:t>
      </w:r>
      <w:proofErr w:type="spellStart"/>
      <w:r w:rsidRPr="00F93325">
        <w:rPr>
          <w:rFonts w:ascii="Times New Roman" w:hAnsi="Times New Roman" w:cs="Times New Roman"/>
          <w:b/>
          <w:bCs/>
          <w:color w:val="2A2A2A"/>
          <w:sz w:val="24"/>
          <w:szCs w:val="24"/>
          <w:lang w:eastAsia="en-GB"/>
        </w:rPr>
        <w:t>Hakimi</w:t>
      </w:r>
      <w:proofErr w:type="spellEnd"/>
    </w:p>
    <w:p w:rsidR="006D4C03" w:rsidRDefault="006D4C03" w:rsidP="006D4C03">
      <w:pPr>
        <w:spacing w:after="105" w:line="240" w:lineRule="auto"/>
        <w:jc w:val="both"/>
        <w:rPr>
          <w:rFonts w:ascii="Times New Roman" w:hAnsi="Times New Roman" w:cs="Times New Roman"/>
          <w:b/>
          <w:bCs/>
          <w:color w:val="2A2A2A"/>
          <w:sz w:val="24"/>
          <w:szCs w:val="24"/>
          <w:lang w:eastAsia="en-GB"/>
        </w:rPr>
      </w:pPr>
      <w:r w:rsidRPr="00F93325">
        <w:rPr>
          <w:rFonts w:ascii="Times New Roman" w:hAnsi="Times New Roman" w:cs="Times New Roman"/>
          <w:b/>
          <w:bCs/>
          <w:color w:val="2A2A2A"/>
          <w:sz w:val="24"/>
          <w:szCs w:val="24"/>
          <w:lang w:eastAsia="en-GB"/>
        </w:rPr>
        <w:tab/>
      </w:r>
      <w:r w:rsidRPr="00F93325">
        <w:rPr>
          <w:rFonts w:ascii="Times New Roman" w:hAnsi="Times New Roman" w:cs="Times New Roman"/>
          <w:b/>
          <w:bCs/>
          <w:color w:val="2A2A2A"/>
          <w:sz w:val="24"/>
          <w:szCs w:val="24"/>
          <w:lang w:eastAsia="en-GB"/>
        </w:rPr>
        <w:tab/>
      </w:r>
      <w:r w:rsidRPr="00F93325">
        <w:rPr>
          <w:rFonts w:ascii="Times New Roman" w:hAnsi="Times New Roman" w:cs="Times New Roman"/>
          <w:b/>
          <w:bCs/>
          <w:color w:val="2A2A2A"/>
          <w:sz w:val="24"/>
          <w:szCs w:val="24"/>
          <w:lang w:eastAsia="en-GB"/>
        </w:rPr>
        <w:tab/>
      </w:r>
      <w:r w:rsidRPr="00F93325">
        <w:rPr>
          <w:rFonts w:ascii="Times New Roman" w:hAnsi="Times New Roman" w:cs="Times New Roman"/>
          <w:b/>
          <w:bCs/>
          <w:color w:val="2A2A2A"/>
          <w:sz w:val="24"/>
          <w:szCs w:val="24"/>
          <w:lang w:eastAsia="en-GB"/>
        </w:rPr>
        <w:tab/>
      </w:r>
      <w:r w:rsidRPr="00F93325">
        <w:rPr>
          <w:rFonts w:ascii="Times New Roman" w:hAnsi="Times New Roman" w:cs="Times New Roman"/>
          <w:b/>
          <w:bCs/>
          <w:color w:val="2A2A2A"/>
          <w:sz w:val="24"/>
          <w:szCs w:val="24"/>
          <w:lang w:eastAsia="en-GB"/>
        </w:rPr>
        <w:tab/>
      </w:r>
    </w:p>
    <w:p w:rsidR="006D4C03" w:rsidRPr="00F93325" w:rsidRDefault="006D4C03" w:rsidP="006D4C03">
      <w:pPr>
        <w:spacing w:after="105" w:line="240" w:lineRule="auto"/>
        <w:jc w:val="center"/>
        <w:rPr>
          <w:rFonts w:ascii="Times New Roman" w:hAnsi="Times New Roman" w:cs="Times New Roman"/>
          <w:b/>
          <w:bCs/>
          <w:color w:val="2A2A2A"/>
          <w:sz w:val="24"/>
          <w:szCs w:val="24"/>
          <w:lang w:eastAsia="en-GB"/>
        </w:rPr>
      </w:pPr>
      <w:r>
        <w:rPr>
          <w:rFonts w:ascii="Times New Roman" w:hAnsi="Times New Roman" w:cs="Times New Roman"/>
          <w:b/>
          <w:bCs/>
          <w:color w:val="2A2A2A"/>
          <w:sz w:val="24"/>
          <w:szCs w:val="24"/>
          <w:lang w:eastAsia="en-GB"/>
        </w:rPr>
        <w:t>ÖZET</w:t>
      </w:r>
    </w:p>
    <w:p w:rsidR="006D4C03" w:rsidRDefault="006D4C03" w:rsidP="006D4C03">
      <w:pPr>
        <w:spacing w:after="105" w:line="240" w:lineRule="auto"/>
        <w:jc w:val="both"/>
        <w:rPr>
          <w:rFonts w:ascii="Times New Roman" w:hAnsi="Times New Roman" w:cs="Times New Roman"/>
          <w:color w:val="2A2A2A"/>
          <w:sz w:val="24"/>
          <w:szCs w:val="24"/>
          <w:lang w:eastAsia="en-GB"/>
        </w:rPr>
      </w:pPr>
    </w:p>
    <w:p w:rsidR="000939B1" w:rsidRDefault="006D4C03" w:rsidP="00DE1738">
      <w:pPr>
        <w:spacing w:after="105" w:line="240" w:lineRule="auto"/>
        <w:jc w:val="both"/>
        <w:rPr>
          <w:rFonts w:ascii="Times New Roman" w:hAnsi="Times New Roman" w:cs="Times New Roman"/>
          <w:color w:val="2A2A2A"/>
          <w:sz w:val="24"/>
          <w:szCs w:val="24"/>
          <w:lang w:eastAsia="en-GB"/>
        </w:rPr>
      </w:pPr>
      <w:proofErr w:type="spellStart"/>
      <w:proofErr w:type="gramStart"/>
      <w:r>
        <w:rPr>
          <w:rFonts w:ascii="Times New Roman" w:hAnsi="Times New Roman" w:cs="Times New Roman"/>
          <w:color w:val="2A2A2A"/>
          <w:sz w:val="24"/>
          <w:szCs w:val="24"/>
          <w:lang w:eastAsia="en-GB"/>
        </w:rPr>
        <w:t>Belirli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garantiler</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sunan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adil</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yargılanma</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hakkı</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özgürlüğünden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mahrum</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olma</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ya</w:t>
      </w:r>
      <w:proofErr w:type="spellEnd"/>
      <w:r>
        <w:rPr>
          <w:rFonts w:ascii="Times New Roman" w:hAnsi="Times New Roman" w:cs="Times New Roman"/>
          <w:color w:val="2A2A2A"/>
          <w:sz w:val="24"/>
          <w:szCs w:val="24"/>
          <w:lang w:eastAsia="en-GB"/>
        </w:rPr>
        <w:t xml:space="preserve"> da </w:t>
      </w:r>
      <w:proofErr w:type="spellStart"/>
      <w:r>
        <w:rPr>
          <w:rFonts w:ascii="Times New Roman" w:hAnsi="Times New Roman" w:cs="Times New Roman"/>
          <w:color w:val="2A2A2A"/>
          <w:sz w:val="24"/>
          <w:szCs w:val="24"/>
          <w:lang w:eastAsia="en-GB"/>
        </w:rPr>
        <w:t>diğer</w:t>
      </w:r>
      <w:proofErr w:type="spellEnd"/>
      <w:r>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tür</w:t>
      </w:r>
      <w:proofErr w:type="spellEnd"/>
      <w:r w:rsidR="00176453">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cezalara</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maruz</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kalma</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riski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bulunan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bireyleri</w:t>
      </w:r>
      <w:proofErr w:type="spellEnd"/>
      <w:r>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ilgilendirmektedir</w:t>
      </w:r>
      <w:proofErr w:type="spellEnd"/>
      <w:r w:rsidR="00176453">
        <w:rPr>
          <w:rFonts w:ascii="Times New Roman" w:hAnsi="Times New Roman" w:cs="Times New Roman"/>
          <w:color w:val="2A2A2A"/>
          <w:sz w:val="24"/>
          <w:szCs w:val="24"/>
          <w:lang w:eastAsia="en-GB"/>
        </w:rPr>
        <w:t>.</w:t>
      </w:r>
      <w:proofErr w:type="gramEnd"/>
      <w:r w:rsidR="00176453">
        <w:rPr>
          <w:rFonts w:ascii="Times New Roman" w:hAnsi="Times New Roman" w:cs="Times New Roman"/>
          <w:color w:val="2A2A2A"/>
          <w:sz w:val="24"/>
          <w:szCs w:val="24"/>
          <w:lang w:eastAsia="en-GB"/>
        </w:rPr>
        <w:t xml:space="preserve"> </w:t>
      </w:r>
      <w:proofErr w:type="spellStart"/>
      <w:proofErr w:type="gramStart"/>
      <w:r w:rsidR="00176453">
        <w:rPr>
          <w:rFonts w:ascii="Times New Roman" w:hAnsi="Times New Roman" w:cs="Times New Roman"/>
          <w:color w:val="2A2A2A"/>
          <w:sz w:val="24"/>
          <w:szCs w:val="24"/>
          <w:lang w:eastAsia="en-GB"/>
        </w:rPr>
        <w:t>Diğer</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haklar</w:t>
      </w:r>
      <w:proofErr w:type="spellEnd"/>
      <w:r w:rsidR="00176453">
        <w:rPr>
          <w:rFonts w:ascii="Times New Roman" w:hAnsi="Times New Roman" w:cs="Times New Roman"/>
          <w:color w:val="2A2A2A"/>
          <w:sz w:val="24"/>
          <w:szCs w:val="24"/>
          <w:lang w:eastAsia="en-GB"/>
        </w:rPr>
        <w:t xml:space="preserve"> da </w:t>
      </w:r>
      <w:proofErr w:type="spellStart"/>
      <w:r w:rsidR="00176453">
        <w:rPr>
          <w:rFonts w:ascii="Times New Roman" w:hAnsi="Times New Roman" w:cs="Times New Roman"/>
          <w:color w:val="2A2A2A"/>
          <w:sz w:val="24"/>
          <w:szCs w:val="24"/>
          <w:lang w:eastAsia="en-GB"/>
        </w:rPr>
        <w:t>çoğu</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kez</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mahkemeler</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aracılığıyla</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korunduğundan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yargılama</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yöntemine</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ilişkin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garantiler</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ve</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adil</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bir</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yargılama</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diğer</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hakların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korunmasının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ön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şartıdır</w:t>
      </w:r>
      <w:proofErr w:type="spellEnd"/>
      <w:r w:rsidR="00176453">
        <w:rPr>
          <w:rFonts w:ascii="Times New Roman" w:hAnsi="Times New Roman" w:cs="Times New Roman"/>
          <w:color w:val="2A2A2A"/>
          <w:sz w:val="24"/>
          <w:szCs w:val="24"/>
          <w:lang w:eastAsia="en-GB"/>
        </w:rPr>
        <w:t>.</w:t>
      </w:r>
      <w:proofErr w:type="gramEnd"/>
      <w:r w:rsidR="00176453">
        <w:rPr>
          <w:rFonts w:ascii="Times New Roman" w:hAnsi="Times New Roman" w:cs="Times New Roman"/>
          <w:color w:val="2A2A2A"/>
          <w:sz w:val="24"/>
          <w:szCs w:val="24"/>
          <w:lang w:eastAsia="en-GB"/>
        </w:rPr>
        <w:t xml:space="preserve"> </w:t>
      </w:r>
      <w:proofErr w:type="gramStart"/>
      <w:r w:rsidR="00176453">
        <w:rPr>
          <w:rFonts w:ascii="Times New Roman" w:hAnsi="Times New Roman" w:cs="Times New Roman"/>
          <w:color w:val="2A2A2A"/>
          <w:sz w:val="24"/>
          <w:szCs w:val="24"/>
          <w:lang w:eastAsia="en-GB"/>
        </w:rPr>
        <w:t xml:space="preserve">Bu </w:t>
      </w:r>
      <w:proofErr w:type="spellStart"/>
      <w:r w:rsidR="00176453">
        <w:rPr>
          <w:rFonts w:ascii="Times New Roman" w:hAnsi="Times New Roman" w:cs="Times New Roman"/>
          <w:color w:val="2A2A2A"/>
          <w:sz w:val="24"/>
          <w:szCs w:val="24"/>
          <w:lang w:eastAsia="en-GB"/>
        </w:rPr>
        <w:t>makale</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ceza</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yargılamalarının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yürütülmesine</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ilişkin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uluslararası</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insan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hakları</w:t>
      </w:r>
      <w:proofErr w:type="spellEnd"/>
      <w:r w:rsidR="00DE1738">
        <w:rPr>
          <w:rFonts w:ascii="Times New Roman" w:hAnsi="Times New Roman" w:cs="Times New Roman"/>
          <w:color w:val="2A2A2A"/>
          <w:sz w:val="24"/>
          <w:szCs w:val="24"/>
          <w:lang w:eastAsia="en-GB"/>
        </w:rPr>
        <w:t xml:space="preserve"> (UİH)</w:t>
      </w:r>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hukukunun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genel</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prensiplerini</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tespite</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teşebbüs</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etmektedir</w:t>
      </w:r>
      <w:proofErr w:type="spellEnd"/>
      <w:r w:rsidR="00176453">
        <w:rPr>
          <w:rFonts w:ascii="Times New Roman" w:hAnsi="Times New Roman" w:cs="Times New Roman"/>
          <w:color w:val="2A2A2A"/>
          <w:sz w:val="24"/>
          <w:szCs w:val="24"/>
          <w:lang w:eastAsia="en-GB"/>
        </w:rPr>
        <w:t>.</w:t>
      </w:r>
      <w:proofErr w:type="gramEnd"/>
      <w:r w:rsidR="00176453">
        <w:rPr>
          <w:rFonts w:ascii="Times New Roman" w:hAnsi="Times New Roman" w:cs="Times New Roman"/>
          <w:color w:val="2A2A2A"/>
          <w:sz w:val="24"/>
          <w:szCs w:val="24"/>
          <w:lang w:eastAsia="en-GB"/>
        </w:rPr>
        <w:t xml:space="preserve"> </w:t>
      </w:r>
      <w:proofErr w:type="spellStart"/>
      <w:proofErr w:type="gramStart"/>
      <w:r w:rsidR="00176453">
        <w:rPr>
          <w:rFonts w:ascii="Times New Roman" w:hAnsi="Times New Roman" w:cs="Times New Roman"/>
          <w:color w:val="2A2A2A"/>
          <w:sz w:val="24"/>
          <w:szCs w:val="24"/>
          <w:lang w:eastAsia="en-GB"/>
        </w:rPr>
        <w:t>Makalenin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kapsamının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darlığı</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nedeniyle</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inceleme</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genel</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uluslararası</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hukukun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hukuki</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enstrümanları</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ile</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sınırlı</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yapılacak</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bölgesel</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insan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hakları</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hukuki</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dökümanları</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ve</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bölgesel</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insan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hakları</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sözleşmeleri</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denetleyici</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organlarının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çalışmaları</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inceleme</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dışı</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bırakılacaktır</w:t>
      </w:r>
      <w:proofErr w:type="spellEnd"/>
      <w:r w:rsidR="00176453">
        <w:rPr>
          <w:rFonts w:ascii="Times New Roman" w:hAnsi="Times New Roman" w:cs="Times New Roman"/>
          <w:color w:val="2A2A2A"/>
          <w:sz w:val="24"/>
          <w:szCs w:val="24"/>
          <w:lang w:eastAsia="en-GB"/>
        </w:rPr>
        <w:t>.</w:t>
      </w:r>
      <w:proofErr w:type="gramEnd"/>
      <w:r w:rsidR="00176453">
        <w:rPr>
          <w:rFonts w:ascii="Times New Roman" w:hAnsi="Times New Roman" w:cs="Times New Roman"/>
          <w:color w:val="2A2A2A"/>
          <w:sz w:val="24"/>
          <w:szCs w:val="24"/>
          <w:lang w:eastAsia="en-GB"/>
        </w:rPr>
        <w:t xml:space="preserve"> </w:t>
      </w:r>
      <w:proofErr w:type="spellStart"/>
      <w:proofErr w:type="gramStart"/>
      <w:r w:rsidR="00176453">
        <w:rPr>
          <w:rFonts w:ascii="Times New Roman" w:hAnsi="Times New Roman" w:cs="Times New Roman"/>
          <w:color w:val="2A2A2A"/>
          <w:sz w:val="24"/>
          <w:szCs w:val="24"/>
          <w:lang w:eastAsia="en-GB"/>
        </w:rPr>
        <w:t>Bununla</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birlikte</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genel</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insan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hakları</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hukuku</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denetleyici</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organları</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tarafından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belirlenen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prensiplerin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tüm</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soruları</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cevaplamaktan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uzaktır</w:t>
      </w:r>
      <w:proofErr w:type="spellEnd"/>
      <w:r w:rsidR="00176453">
        <w:rPr>
          <w:rFonts w:ascii="Times New Roman" w:hAnsi="Times New Roman" w:cs="Times New Roman"/>
          <w:color w:val="2A2A2A"/>
          <w:sz w:val="24"/>
          <w:szCs w:val="24"/>
          <w:lang w:eastAsia="en-GB"/>
        </w:rPr>
        <w:t>.</w:t>
      </w:r>
      <w:proofErr w:type="gramEnd"/>
      <w:r w:rsidR="00176453">
        <w:rPr>
          <w:rFonts w:ascii="Times New Roman" w:hAnsi="Times New Roman" w:cs="Times New Roman"/>
          <w:color w:val="2A2A2A"/>
          <w:sz w:val="24"/>
          <w:szCs w:val="24"/>
          <w:lang w:eastAsia="en-GB"/>
        </w:rPr>
        <w:t xml:space="preserve"> </w:t>
      </w:r>
      <w:proofErr w:type="gramStart"/>
      <w:r w:rsidR="00176453">
        <w:rPr>
          <w:rFonts w:ascii="Times New Roman" w:hAnsi="Times New Roman" w:cs="Times New Roman"/>
          <w:color w:val="2A2A2A"/>
          <w:sz w:val="24"/>
          <w:szCs w:val="24"/>
          <w:lang w:eastAsia="en-GB"/>
        </w:rPr>
        <w:t xml:space="preserve">Bu </w:t>
      </w:r>
      <w:proofErr w:type="spellStart"/>
      <w:r w:rsidR="00176453">
        <w:rPr>
          <w:rFonts w:ascii="Times New Roman" w:hAnsi="Times New Roman" w:cs="Times New Roman"/>
          <w:color w:val="2A2A2A"/>
          <w:sz w:val="24"/>
          <w:szCs w:val="24"/>
          <w:lang w:eastAsia="en-GB"/>
        </w:rPr>
        <w:t>nedenle</w:t>
      </w:r>
      <w:proofErr w:type="spellEnd"/>
      <w:r w:rsidRPr="00F93325">
        <w:rPr>
          <w:rFonts w:ascii="Times New Roman" w:hAnsi="Times New Roman" w:cs="Times New Roman"/>
          <w:color w:val="2A2A2A"/>
          <w:sz w:val="24"/>
          <w:szCs w:val="24"/>
          <w:lang w:eastAsia="en-GB"/>
        </w:rPr>
        <w:t>,</w:t>
      </w:r>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gerektiğinde</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Avrupa</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İnsan</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Hakları</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Mahkemesi’nin</w:t>
      </w:r>
      <w:proofErr w:type="spellEnd"/>
      <w:r w:rsidR="00DE1738">
        <w:rPr>
          <w:rFonts w:ascii="Times New Roman" w:hAnsi="Times New Roman" w:cs="Times New Roman"/>
          <w:color w:val="2A2A2A"/>
          <w:sz w:val="24"/>
          <w:szCs w:val="24"/>
          <w:lang w:eastAsia="en-GB"/>
        </w:rPr>
        <w:t xml:space="preserve"> (AİHM)</w:t>
      </w:r>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içtihat</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hukukuna</w:t>
      </w:r>
      <w:proofErr w:type="spellEnd"/>
      <w:r w:rsidR="00176453">
        <w:rPr>
          <w:rFonts w:ascii="Times New Roman" w:hAnsi="Times New Roman" w:cs="Times New Roman"/>
          <w:color w:val="2A2A2A"/>
          <w:sz w:val="24"/>
          <w:szCs w:val="24"/>
          <w:lang w:eastAsia="en-GB"/>
        </w:rPr>
        <w:t xml:space="preserve"> </w:t>
      </w:r>
      <w:proofErr w:type="spellStart"/>
      <w:r w:rsidR="00176453">
        <w:rPr>
          <w:rFonts w:ascii="Times New Roman" w:hAnsi="Times New Roman" w:cs="Times New Roman"/>
          <w:color w:val="2A2A2A"/>
          <w:sz w:val="24"/>
          <w:szCs w:val="24"/>
          <w:lang w:eastAsia="en-GB"/>
        </w:rPr>
        <w:t>başvurulacaktır</w:t>
      </w:r>
      <w:proofErr w:type="spellEnd"/>
      <w:r w:rsidR="00176453">
        <w:rPr>
          <w:rFonts w:ascii="Times New Roman" w:hAnsi="Times New Roman" w:cs="Times New Roman"/>
          <w:color w:val="2A2A2A"/>
          <w:sz w:val="24"/>
          <w:szCs w:val="24"/>
          <w:lang w:eastAsia="en-GB"/>
        </w:rPr>
        <w:t>.</w:t>
      </w:r>
      <w:proofErr w:type="gramEnd"/>
      <w:r w:rsidR="00DE1738">
        <w:rPr>
          <w:rFonts w:ascii="Times New Roman" w:hAnsi="Times New Roman" w:cs="Times New Roman"/>
          <w:color w:val="2A2A2A"/>
          <w:sz w:val="24"/>
          <w:szCs w:val="24"/>
          <w:lang w:eastAsia="en-GB"/>
        </w:rPr>
        <w:t xml:space="preserve"> </w:t>
      </w:r>
      <w:proofErr w:type="spellStart"/>
      <w:proofErr w:type="gramStart"/>
      <w:r w:rsidR="00DE1738">
        <w:rPr>
          <w:rFonts w:ascii="Times New Roman" w:hAnsi="Times New Roman" w:cs="Times New Roman"/>
          <w:color w:val="2A2A2A"/>
          <w:sz w:val="24"/>
          <w:szCs w:val="24"/>
          <w:lang w:eastAsia="en-GB"/>
        </w:rPr>
        <w:t>İncelenecek</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hususların</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kapsamı</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oldukça</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geniş</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olmakla</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birlikte</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geçmiş</w:t>
      </w:r>
      <w:proofErr w:type="spellEnd"/>
      <w:r w:rsidR="00DE1738">
        <w:rPr>
          <w:rFonts w:ascii="Times New Roman" w:hAnsi="Times New Roman" w:cs="Times New Roman"/>
          <w:color w:val="2A2A2A"/>
          <w:sz w:val="24"/>
          <w:szCs w:val="24"/>
          <w:lang w:eastAsia="en-GB"/>
        </w:rPr>
        <w:t xml:space="preserve"> 50 </w:t>
      </w:r>
      <w:proofErr w:type="spellStart"/>
      <w:r w:rsidR="00DE1738">
        <w:rPr>
          <w:rFonts w:ascii="Times New Roman" w:hAnsi="Times New Roman" w:cs="Times New Roman"/>
          <w:color w:val="2A2A2A"/>
          <w:sz w:val="24"/>
          <w:szCs w:val="24"/>
          <w:lang w:eastAsia="en-GB"/>
        </w:rPr>
        <w:t>yıl</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içinde</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insan</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hakları</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organlarının</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genel</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yorumları</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ve</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kararları</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ile</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kademeli</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olarak</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açıklığı</w:t>
      </w:r>
      <w:proofErr w:type="spellEnd"/>
      <w:r w:rsidR="00DE1738">
        <w:rPr>
          <w:rFonts w:ascii="Times New Roman" w:hAnsi="Times New Roman" w:cs="Times New Roman"/>
          <w:color w:val="2A2A2A"/>
          <w:sz w:val="24"/>
          <w:szCs w:val="24"/>
          <w:lang w:eastAsia="en-GB"/>
        </w:rPr>
        <w:t xml:space="preserve"> </w:t>
      </w:r>
      <w:proofErr w:type="spellStart"/>
      <w:r w:rsidR="00DE1738">
        <w:rPr>
          <w:rFonts w:ascii="Times New Roman" w:hAnsi="Times New Roman" w:cs="Times New Roman"/>
          <w:color w:val="2A2A2A"/>
          <w:sz w:val="24"/>
          <w:szCs w:val="24"/>
          <w:lang w:eastAsia="en-GB"/>
        </w:rPr>
        <w:t>kavuşturulmuştur</w:t>
      </w:r>
      <w:proofErr w:type="spellEnd"/>
      <w:r w:rsidR="00DE1738">
        <w:rPr>
          <w:rFonts w:ascii="Times New Roman" w:hAnsi="Times New Roman" w:cs="Times New Roman"/>
          <w:color w:val="2A2A2A"/>
          <w:sz w:val="24"/>
          <w:szCs w:val="24"/>
          <w:lang w:eastAsia="en-GB"/>
        </w:rPr>
        <w:t>.</w:t>
      </w:r>
      <w:proofErr w:type="gramEnd"/>
    </w:p>
    <w:p w:rsidR="000939B1" w:rsidRDefault="000939B1" w:rsidP="00DE1738">
      <w:pPr>
        <w:spacing w:after="105" w:line="240" w:lineRule="auto"/>
        <w:jc w:val="both"/>
        <w:rPr>
          <w:rFonts w:ascii="Times New Roman" w:hAnsi="Times New Roman" w:cs="Times New Roman"/>
          <w:color w:val="2A2A2A"/>
          <w:sz w:val="24"/>
          <w:szCs w:val="24"/>
          <w:lang w:eastAsia="en-GB"/>
        </w:rPr>
      </w:pPr>
    </w:p>
    <w:p w:rsidR="00DE1738" w:rsidRDefault="00DE1738" w:rsidP="00DE1738">
      <w:pPr>
        <w:spacing w:after="105" w:line="240" w:lineRule="auto"/>
        <w:jc w:val="both"/>
        <w:rPr>
          <w:rFonts w:ascii="Times New Roman" w:hAnsi="Times New Roman" w:cs="Times New Roman"/>
          <w:color w:val="2A2A2A"/>
          <w:sz w:val="24"/>
          <w:szCs w:val="24"/>
          <w:lang w:eastAsia="en-GB"/>
        </w:rPr>
      </w:pPr>
      <w:bookmarkStart w:id="0" w:name="_GoBack"/>
      <w:bookmarkEnd w:id="0"/>
      <w:proofErr w:type="spellStart"/>
      <w:proofErr w:type="gramStart"/>
      <w:r>
        <w:rPr>
          <w:rFonts w:ascii="Times New Roman" w:hAnsi="Times New Roman" w:cs="Times New Roman"/>
          <w:color w:val="2A2A2A"/>
          <w:sz w:val="24"/>
          <w:szCs w:val="24"/>
          <w:lang w:eastAsia="en-GB"/>
        </w:rPr>
        <w:t>İnsan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hakları</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denetleyici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organlarının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içtihat</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hukuku</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oluşturuldukça</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üye</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devletler</w:t>
      </w:r>
      <w:proofErr w:type="spellEnd"/>
      <w:r>
        <w:rPr>
          <w:rFonts w:ascii="Times New Roman" w:hAnsi="Times New Roman" w:cs="Times New Roman"/>
          <w:color w:val="2A2A2A"/>
          <w:sz w:val="24"/>
          <w:szCs w:val="24"/>
          <w:lang w:eastAsia="en-GB"/>
        </w:rPr>
        <w:t xml:space="preserve"> de </w:t>
      </w:r>
      <w:proofErr w:type="spellStart"/>
      <w:r>
        <w:rPr>
          <w:rFonts w:ascii="Times New Roman" w:hAnsi="Times New Roman" w:cs="Times New Roman"/>
          <w:color w:val="2A2A2A"/>
          <w:sz w:val="24"/>
          <w:szCs w:val="24"/>
          <w:lang w:eastAsia="en-GB"/>
        </w:rPr>
        <w:t>kendi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hukuk</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sistemlerini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bu</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doğrultuda</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düzenlemişler</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ve</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insan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hakları</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konusunda</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esaslı</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iyileşmeler</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oluşmuştur</w:t>
      </w:r>
      <w:proofErr w:type="spellEnd"/>
      <w:r>
        <w:rPr>
          <w:rFonts w:ascii="Times New Roman" w:hAnsi="Times New Roman" w:cs="Times New Roman"/>
          <w:color w:val="2A2A2A"/>
          <w:sz w:val="24"/>
          <w:szCs w:val="24"/>
          <w:lang w:eastAsia="en-GB"/>
        </w:rPr>
        <w:t>.</w:t>
      </w:r>
      <w:proofErr w:type="gramEnd"/>
      <w:r>
        <w:rPr>
          <w:rFonts w:ascii="Times New Roman" w:hAnsi="Times New Roman" w:cs="Times New Roman"/>
          <w:color w:val="2A2A2A"/>
          <w:sz w:val="24"/>
          <w:szCs w:val="24"/>
          <w:lang w:eastAsia="en-GB"/>
        </w:rPr>
        <w:t xml:space="preserve"> </w:t>
      </w:r>
      <w:proofErr w:type="gramStart"/>
      <w:r>
        <w:rPr>
          <w:rFonts w:ascii="Times New Roman" w:hAnsi="Times New Roman" w:cs="Times New Roman"/>
          <w:color w:val="2A2A2A"/>
          <w:sz w:val="24"/>
          <w:szCs w:val="24"/>
          <w:lang w:eastAsia="en-GB"/>
        </w:rPr>
        <w:t xml:space="preserve">AİHM </w:t>
      </w:r>
      <w:proofErr w:type="spellStart"/>
      <w:r>
        <w:rPr>
          <w:rFonts w:ascii="Times New Roman" w:hAnsi="Times New Roman" w:cs="Times New Roman"/>
          <w:color w:val="2A2A2A"/>
          <w:sz w:val="24"/>
          <w:szCs w:val="24"/>
          <w:lang w:eastAsia="en-GB"/>
        </w:rPr>
        <w:t>kendine</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düşeni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büyük</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ölçüde</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yapmış</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olmasına</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karşın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genel</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insan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hakları</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sistemi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gerekçeli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karar</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ve</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kararın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makul</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süre</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içinde</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verilmesi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gerekliliği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hususlarını</w:t>
      </w:r>
      <w:proofErr w:type="spellEnd"/>
      <w:r>
        <w:rPr>
          <w:rFonts w:ascii="Times New Roman" w:hAnsi="Times New Roman" w:cs="Times New Roman"/>
          <w:color w:val="2A2A2A"/>
          <w:sz w:val="24"/>
          <w:szCs w:val="24"/>
          <w:lang w:eastAsia="en-GB"/>
        </w:rPr>
        <w:t xml:space="preserve"> da </w:t>
      </w:r>
      <w:proofErr w:type="spellStart"/>
      <w:r>
        <w:rPr>
          <w:rFonts w:ascii="Times New Roman" w:hAnsi="Times New Roman" w:cs="Times New Roman"/>
          <w:color w:val="2A2A2A"/>
          <w:sz w:val="24"/>
          <w:szCs w:val="24"/>
          <w:lang w:eastAsia="en-GB"/>
        </w:rPr>
        <w:t>içeren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bazı</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alanlarda</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yeterli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gelişmeyi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sağlayamamıştır</w:t>
      </w:r>
      <w:proofErr w:type="spellEnd"/>
      <w:r>
        <w:rPr>
          <w:rFonts w:ascii="Times New Roman" w:hAnsi="Times New Roman" w:cs="Times New Roman"/>
          <w:color w:val="2A2A2A"/>
          <w:sz w:val="24"/>
          <w:szCs w:val="24"/>
          <w:lang w:eastAsia="en-GB"/>
        </w:rPr>
        <w:t>.</w:t>
      </w:r>
      <w:proofErr w:type="gramEnd"/>
    </w:p>
    <w:p w:rsidR="00DE1738" w:rsidRDefault="00DE1738" w:rsidP="00DE1738">
      <w:pPr>
        <w:spacing w:after="105" w:line="240" w:lineRule="auto"/>
        <w:jc w:val="both"/>
        <w:rPr>
          <w:rFonts w:ascii="Times New Roman" w:hAnsi="Times New Roman" w:cs="Times New Roman"/>
          <w:color w:val="2A2A2A"/>
          <w:sz w:val="24"/>
          <w:szCs w:val="24"/>
          <w:lang w:eastAsia="en-GB"/>
        </w:rPr>
      </w:pPr>
    </w:p>
    <w:p w:rsidR="006D4C03" w:rsidRPr="00F93325" w:rsidRDefault="00DE1738" w:rsidP="00DE1738">
      <w:pPr>
        <w:spacing w:after="105" w:line="240" w:lineRule="auto"/>
        <w:jc w:val="both"/>
        <w:rPr>
          <w:rFonts w:ascii="Times New Roman" w:hAnsi="Times New Roman" w:cs="Times New Roman"/>
          <w:color w:val="2A2A2A"/>
          <w:sz w:val="24"/>
          <w:szCs w:val="24"/>
          <w:lang w:eastAsia="en-GB"/>
        </w:rPr>
      </w:pPr>
      <w:proofErr w:type="spellStart"/>
      <w:proofErr w:type="gramStart"/>
      <w:r>
        <w:rPr>
          <w:rFonts w:ascii="Times New Roman" w:hAnsi="Times New Roman" w:cs="Times New Roman"/>
          <w:color w:val="2A2A2A"/>
          <w:sz w:val="24"/>
          <w:szCs w:val="24"/>
          <w:lang w:eastAsia="en-GB"/>
        </w:rPr>
        <w:t>Belki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bireyleri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insan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hakları</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ihlalleri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nedeniyle</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başvuru</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yapmaktan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alıkoyan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İnsan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Hakları</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Komitesi’nin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kararlarının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bağlayıcı</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olmayışıtır</w:t>
      </w:r>
      <w:proofErr w:type="spellEnd"/>
      <w:r>
        <w:rPr>
          <w:rFonts w:ascii="Times New Roman" w:hAnsi="Times New Roman" w:cs="Times New Roman"/>
          <w:color w:val="2A2A2A"/>
          <w:sz w:val="24"/>
          <w:szCs w:val="24"/>
          <w:lang w:eastAsia="en-GB"/>
        </w:rPr>
        <w:t>.</w:t>
      </w:r>
      <w:proofErr w:type="gramEnd"/>
      <w:r>
        <w:rPr>
          <w:rFonts w:ascii="Times New Roman" w:hAnsi="Times New Roman" w:cs="Times New Roman"/>
          <w:color w:val="2A2A2A"/>
          <w:sz w:val="24"/>
          <w:szCs w:val="24"/>
          <w:lang w:eastAsia="en-GB"/>
        </w:rPr>
        <w:t xml:space="preserve"> </w:t>
      </w:r>
      <w:proofErr w:type="spellStart"/>
      <w:proofErr w:type="gramStart"/>
      <w:r>
        <w:rPr>
          <w:rFonts w:ascii="Times New Roman" w:hAnsi="Times New Roman" w:cs="Times New Roman"/>
          <w:color w:val="2A2A2A"/>
          <w:sz w:val="24"/>
          <w:szCs w:val="24"/>
          <w:lang w:eastAsia="en-GB"/>
        </w:rPr>
        <w:t>Belirtilen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yönler</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bu</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nedenle</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açıklığa</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kavuşmamış</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olabilir</w:t>
      </w:r>
      <w:proofErr w:type="spellEnd"/>
      <w:r>
        <w:rPr>
          <w:rFonts w:ascii="Times New Roman" w:hAnsi="Times New Roman" w:cs="Times New Roman"/>
          <w:color w:val="2A2A2A"/>
          <w:sz w:val="24"/>
          <w:szCs w:val="24"/>
          <w:lang w:eastAsia="en-GB"/>
        </w:rPr>
        <w:t>.</w:t>
      </w:r>
      <w:proofErr w:type="gramEnd"/>
      <w:r>
        <w:rPr>
          <w:rFonts w:ascii="Times New Roman" w:hAnsi="Times New Roman" w:cs="Times New Roman"/>
          <w:color w:val="2A2A2A"/>
          <w:sz w:val="24"/>
          <w:szCs w:val="24"/>
          <w:lang w:eastAsia="en-GB"/>
        </w:rPr>
        <w:t xml:space="preserve"> </w:t>
      </w:r>
      <w:proofErr w:type="gramStart"/>
      <w:r>
        <w:rPr>
          <w:rFonts w:ascii="Times New Roman" w:hAnsi="Times New Roman" w:cs="Times New Roman"/>
          <w:color w:val="2A2A2A"/>
          <w:sz w:val="24"/>
          <w:szCs w:val="24"/>
          <w:lang w:eastAsia="en-GB"/>
        </w:rPr>
        <w:t xml:space="preserve">AİHM </w:t>
      </w:r>
      <w:proofErr w:type="spellStart"/>
      <w:r>
        <w:rPr>
          <w:rFonts w:ascii="Times New Roman" w:hAnsi="Times New Roman" w:cs="Times New Roman"/>
          <w:color w:val="2A2A2A"/>
          <w:sz w:val="24"/>
          <w:szCs w:val="24"/>
          <w:lang w:eastAsia="en-GB"/>
        </w:rPr>
        <w:t>içtihat</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hukukunun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sadece</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Avrupa</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Konseyi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üyeleri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olan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ülkelere</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etki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etmesi</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nedeniyle</w:t>
      </w:r>
      <w:proofErr w:type="spellEnd"/>
      <w:r>
        <w:rPr>
          <w:rFonts w:ascii="Times New Roman" w:hAnsi="Times New Roman" w:cs="Times New Roman"/>
          <w:color w:val="2A2A2A"/>
          <w:sz w:val="24"/>
          <w:szCs w:val="24"/>
          <w:lang w:eastAsia="en-GB"/>
        </w:rPr>
        <w:t>,</w:t>
      </w:r>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İnsan</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Hakları</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Komitesi</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Kararları</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Medeni</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ve</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Siyasi</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Haklar</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Sözleşmesi’ne</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taraf</w:t>
      </w:r>
      <w:proofErr w:type="spellEnd"/>
      <w:r w:rsidR="007B4689">
        <w:rPr>
          <w:rFonts w:ascii="Times New Roman" w:hAnsi="Times New Roman" w:cs="Times New Roman"/>
          <w:color w:val="2A2A2A"/>
          <w:sz w:val="24"/>
          <w:szCs w:val="24"/>
          <w:lang w:eastAsia="en-GB"/>
        </w:rPr>
        <w:t xml:space="preserve"> 167 </w:t>
      </w:r>
      <w:proofErr w:type="spellStart"/>
      <w:r w:rsidR="007B4689">
        <w:rPr>
          <w:rFonts w:ascii="Times New Roman" w:hAnsi="Times New Roman" w:cs="Times New Roman"/>
          <w:color w:val="2A2A2A"/>
          <w:sz w:val="24"/>
          <w:szCs w:val="24"/>
          <w:lang w:eastAsia="en-GB"/>
        </w:rPr>
        <w:t>üye</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ülkeyi</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etkilemektedir</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incelenen</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hakların</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içeriğinin</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belirlenmesi</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yönünden</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daha</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verimli</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kararlar</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vermelidir</w:t>
      </w:r>
      <w:proofErr w:type="spellEnd"/>
      <w:r w:rsidR="007B4689">
        <w:rPr>
          <w:rFonts w:ascii="Times New Roman" w:hAnsi="Times New Roman" w:cs="Times New Roman"/>
          <w:color w:val="2A2A2A"/>
          <w:sz w:val="24"/>
          <w:szCs w:val="24"/>
          <w:lang w:eastAsia="en-GB"/>
        </w:rPr>
        <w:t>.</w:t>
      </w:r>
      <w:proofErr w:type="gramEnd"/>
      <w:r w:rsidR="007B4689">
        <w:rPr>
          <w:rFonts w:ascii="Times New Roman" w:hAnsi="Times New Roman" w:cs="Times New Roman"/>
          <w:color w:val="2A2A2A"/>
          <w:sz w:val="24"/>
          <w:szCs w:val="24"/>
          <w:lang w:eastAsia="en-GB"/>
        </w:rPr>
        <w:t xml:space="preserve"> </w:t>
      </w:r>
      <w:proofErr w:type="gramStart"/>
      <w:r w:rsidR="007B4689">
        <w:rPr>
          <w:rFonts w:ascii="Times New Roman" w:hAnsi="Times New Roman" w:cs="Times New Roman"/>
          <w:color w:val="2A2A2A"/>
          <w:sz w:val="24"/>
          <w:szCs w:val="24"/>
          <w:lang w:eastAsia="en-GB"/>
        </w:rPr>
        <w:t xml:space="preserve">Bu, </w:t>
      </w:r>
      <w:proofErr w:type="spellStart"/>
      <w:r w:rsidR="007B4689">
        <w:rPr>
          <w:rFonts w:ascii="Times New Roman" w:hAnsi="Times New Roman" w:cs="Times New Roman"/>
          <w:color w:val="2A2A2A"/>
          <w:sz w:val="24"/>
          <w:szCs w:val="24"/>
          <w:lang w:eastAsia="en-GB"/>
        </w:rPr>
        <w:t>ülkeler</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tarafından</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devamlı</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olarak</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ihlal</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edilen</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azınlık</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hakları</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başta</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olmak</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lastRenderedPageBreak/>
        <w:t>üzere</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diğer</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insan</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haklarının</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korunması</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bakımından</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vazgeçilmez</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olan</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yargının</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nitelikli</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yönetiminin</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kriterlerinin</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uluslararası</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düzeyde</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birliğinin</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sağlanmasına</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hizmet</w:t>
      </w:r>
      <w:proofErr w:type="spellEnd"/>
      <w:r w:rsidR="007B4689">
        <w:rPr>
          <w:rFonts w:ascii="Times New Roman" w:hAnsi="Times New Roman" w:cs="Times New Roman"/>
          <w:color w:val="2A2A2A"/>
          <w:sz w:val="24"/>
          <w:szCs w:val="24"/>
          <w:lang w:eastAsia="en-GB"/>
        </w:rPr>
        <w:t xml:space="preserve"> </w:t>
      </w:r>
      <w:proofErr w:type="spellStart"/>
      <w:r w:rsidR="007B4689">
        <w:rPr>
          <w:rFonts w:ascii="Times New Roman" w:hAnsi="Times New Roman" w:cs="Times New Roman"/>
          <w:color w:val="2A2A2A"/>
          <w:sz w:val="24"/>
          <w:szCs w:val="24"/>
          <w:lang w:eastAsia="en-GB"/>
        </w:rPr>
        <w:t>edecektir</w:t>
      </w:r>
      <w:proofErr w:type="spellEnd"/>
      <w:r w:rsidR="007B4689">
        <w:rPr>
          <w:rFonts w:ascii="Times New Roman" w:hAnsi="Times New Roman" w:cs="Times New Roman"/>
          <w:color w:val="2A2A2A"/>
          <w:sz w:val="24"/>
          <w:szCs w:val="24"/>
          <w:lang w:eastAsia="en-GB"/>
        </w:rPr>
        <w:t>.</w:t>
      </w:r>
      <w:proofErr w:type="gramEnd"/>
    </w:p>
    <w:p w:rsidR="007B4689" w:rsidRDefault="007B4689" w:rsidP="006D4C03">
      <w:pPr>
        <w:spacing w:after="105" w:line="240" w:lineRule="auto"/>
        <w:jc w:val="both"/>
        <w:rPr>
          <w:rFonts w:ascii="Times New Roman" w:hAnsi="Times New Roman" w:cs="Times New Roman"/>
          <w:color w:val="2A2A2A"/>
          <w:sz w:val="24"/>
          <w:szCs w:val="24"/>
          <w:lang w:eastAsia="en-GB"/>
        </w:rPr>
      </w:pPr>
    </w:p>
    <w:p w:rsidR="006D4C03" w:rsidRDefault="007B4689" w:rsidP="006D4C03">
      <w:pPr>
        <w:jc w:val="both"/>
        <w:rPr>
          <w:rFonts w:ascii="Times New Roman" w:hAnsi="Times New Roman" w:cs="Times New Roman"/>
          <w:color w:val="2A2A2A"/>
          <w:sz w:val="24"/>
          <w:szCs w:val="24"/>
          <w:lang w:eastAsia="en-GB"/>
        </w:rPr>
      </w:pPr>
      <w:proofErr w:type="spellStart"/>
      <w:r>
        <w:rPr>
          <w:rFonts w:ascii="Times New Roman" w:hAnsi="Times New Roman" w:cs="Times New Roman"/>
          <w:b/>
          <w:bCs/>
          <w:color w:val="2A2A2A"/>
          <w:sz w:val="24"/>
          <w:szCs w:val="24"/>
          <w:lang w:eastAsia="en-GB"/>
        </w:rPr>
        <w:t>Anahtar</w:t>
      </w:r>
      <w:proofErr w:type="spellEnd"/>
      <w:r>
        <w:rPr>
          <w:rFonts w:ascii="Times New Roman" w:hAnsi="Times New Roman" w:cs="Times New Roman"/>
          <w:b/>
          <w:bCs/>
          <w:color w:val="2A2A2A"/>
          <w:sz w:val="24"/>
          <w:szCs w:val="24"/>
          <w:lang w:eastAsia="en-GB"/>
        </w:rPr>
        <w:t xml:space="preserve"> </w:t>
      </w:r>
      <w:proofErr w:type="spellStart"/>
      <w:r>
        <w:rPr>
          <w:rFonts w:ascii="Times New Roman" w:hAnsi="Times New Roman" w:cs="Times New Roman"/>
          <w:b/>
          <w:bCs/>
          <w:color w:val="2A2A2A"/>
          <w:sz w:val="24"/>
          <w:szCs w:val="24"/>
          <w:lang w:eastAsia="en-GB"/>
        </w:rPr>
        <w:t>kelimeler</w:t>
      </w:r>
      <w:proofErr w:type="spellEnd"/>
      <w:r w:rsidR="006D4C03" w:rsidRPr="00F93325">
        <w:rPr>
          <w:rFonts w:ascii="Times New Roman" w:hAnsi="Times New Roman" w:cs="Times New Roman"/>
          <w:b/>
          <w:bCs/>
          <w:color w:val="2A2A2A"/>
          <w:sz w:val="24"/>
          <w:szCs w:val="24"/>
          <w:lang w:eastAsia="en-GB"/>
        </w:rPr>
        <w:t>:</w:t>
      </w:r>
      <w:r w:rsidR="006D4C03" w:rsidRPr="00F93325">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Yargılamaya</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ilişkin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garantiler</w:t>
      </w:r>
      <w:proofErr w:type="spellEnd"/>
      <w:r w:rsidR="006D4C03" w:rsidRPr="00F93325">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ceza</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hukuku</w:t>
      </w:r>
      <w:proofErr w:type="spellEnd"/>
      <w:r w:rsidR="006D4C03" w:rsidRPr="00F93325">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adil</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yargılanma</w:t>
      </w:r>
      <w:proofErr w:type="spellEnd"/>
      <w:r w:rsidR="006D4C03" w:rsidRPr="00F93325">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bölgesel</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ve</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uluslararası</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insan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hakları</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organlarının</w:t>
      </w:r>
      <w:proofErr w:type="spellEnd"/>
      <w:r>
        <w:rPr>
          <w:rFonts w:ascii="Times New Roman" w:hAnsi="Times New Roman" w:cs="Times New Roman"/>
          <w:color w:val="2A2A2A"/>
          <w:sz w:val="24"/>
          <w:szCs w:val="24"/>
          <w:lang w:eastAsia="en-GB"/>
        </w:rPr>
        <w:t xml:space="preserve"> </w:t>
      </w:r>
      <w:proofErr w:type="spellStart"/>
      <w:r>
        <w:rPr>
          <w:rFonts w:ascii="Times New Roman" w:hAnsi="Times New Roman" w:cs="Times New Roman"/>
          <w:color w:val="2A2A2A"/>
          <w:sz w:val="24"/>
          <w:szCs w:val="24"/>
          <w:lang w:eastAsia="en-GB"/>
        </w:rPr>
        <w:t>çalışmaları</w:t>
      </w:r>
      <w:proofErr w:type="spellEnd"/>
      <w:r>
        <w:rPr>
          <w:rFonts w:ascii="Times New Roman" w:hAnsi="Times New Roman" w:cs="Times New Roman"/>
          <w:color w:val="2A2A2A"/>
          <w:sz w:val="24"/>
          <w:szCs w:val="24"/>
          <w:lang w:eastAsia="en-GB"/>
        </w:rPr>
        <w:t>.</w:t>
      </w:r>
    </w:p>
    <w:p w:rsidR="006D4C03" w:rsidRDefault="006D4C03" w:rsidP="006D4C03">
      <w:pPr>
        <w:jc w:val="both"/>
        <w:rPr>
          <w:rFonts w:ascii="Times New Roman" w:hAnsi="Times New Roman" w:cs="Times New Roman"/>
          <w:color w:val="2A2A2A"/>
          <w:sz w:val="24"/>
          <w:szCs w:val="24"/>
          <w:lang w:eastAsia="en-GB"/>
        </w:rPr>
      </w:pPr>
    </w:p>
    <w:p w:rsidR="00703CEE" w:rsidRPr="00F93325" w:rsidRDefault="00703CEE" w:rsidP="006D4C03">
      <w:pPr>
        <w:jc w:val="both"/>
        <w:rPr>
          <w:rFonts w:ascii="Times New Roman" w:hAnsi="Times New Roman" w:cs="Times New Roman"/>
          <w:b/>
          <w:bCs/>
          <w:sz w:val="24"/>
          <w:szCs w:val="24"/>
        </w:rPr>
      </w:pPr>
      <w:r w:rsidRPr="00F93325">
        <w:rPr>
          <w:rFonts w:ascii="Times New Roman" w:hAnsi="Times New Roman" w:cs="Times New Roman"/>
          <w:b/>
          <w:bCs/>
          <w:sz w:val="24"/>
          <w:szCs w:val="24"/>
        </w:rPr>
        <w:t>INTRODUCTION</w:t>
      </w:r>
    </w:p>
    <w:p w:rsidR="00703CEE" w:rsidRPr="00F93325" w:rsidRDefault="00703CEE" w:rsidP="00F93325">
      <w:pPr>
        <w:jc w:val="both"/>
        <w:rPr>
          <w:rFonts w:ascii="Times New Roman" w:hAnsi="Times New Roman" w:cs="Times New Roman"/>
          <w:sz w:val="24"/>
          <w:szCs w:val="24"/>
        </w:rPr>
      </w:pPr>
      <w:r w:rsidRPr="00F93325">
        <w:rPr>
          <w:rFonts w:ascii="Times New Roman" w:hAnsi="Times New Roman" w:cs="Times New Roman"/>
          <w:sz w:val="24"/>
          <w:szCs w:val="24"/>
        </w:rPr>
        <w:t>The right to a fair trial with certain safeguards concerns the individuals who face the risk of being deprived of liberty or other types of sanctions. Setting certain standards of fair trial is an attempt to protect individuals from being abused by the powerful state. As other rights are protected mostly via courts, procedural guarantees and a fair trial are pre-requisites of protection of other rights. Many attempts to regulate international law including international human rights law (IHRL) have been made since the Second World War, as the Charter declares</w:t>
      </w:r>
      <w:r w:rsidRPr="00F93325">
        <w:rPr>
          <w:rStyle w:val="DipnotBavurusu"/>
          <w:rFonts w:ascii="Times New Roman" w:hAnsi="Times New Roman" w:cs="Times New Roman"/>
          <w:sz w:val="24"/>
          <w:szCs w:val="24"/>
        </w:rPr>
        <w:footnoteReference w:id="3"/>
      </w:r>
      <w:r w:rsidRPr="00F93325">
        <w:rPr>
          <w:rFonts w:ascii="Times New Roman" w:hAnsi="Times New Roman" w:cs="Times New Roman"/>
          <w:sz w:val="24"/>
          <w:szCs w:val="24"/>
        </w:rPr>
        <w:t>, to ensure that future generations be saved from the atrocities of war.</w:t>
      </w:r>
    </w:p>
    <w:p w:rsidR="00703CEE" w:rsidRPr="00F93325" w:rsidRDefault="00703CEE" w:rsidP="00F93325">
      <w:pPr>
        <w:jc w:val="both"/>
        <w:rPr>
          <w:rFonts w:ascii="Times New Roman" w:hAnsi="Times New Roman" w:cs="Times New Roman"/>
          <w:sz w:val="24"/>
          <w:szCs w:val="24"/>
        </w:rPr>
      </w:pPr>
      <w:r w:rsidRPr="00F93325">
        <w:rPr>
          <w:rFonts w:ascii="Times New Roman" w:hAnsi="Times New Roman" w:cs="Times New Roman"/>
          <w:sz w:val="24"/>
          <w:szCs w:val="24"/>
        </w:rPr>
        <w:t>This paper will attempt to spell out the general principles of IHRL governing the conduct of criminal trials. Due to its limited space, the examination will be principally limited to the legal instruments of general international law, thus excluding the regional legal documents and the work of regional treaty bodies. However, the principles that have been determined by general human rights law supervisory bodies are far from sufficient to answer all the questions. Therefore, where needed, the expansive case law of the European Court of Human Rights will be resorted to.</w:t>
      </w:r>
    </w:p>
    <w:p w:rsidR="00703CEE" w:rsidRPr="00F93325" w:rsidRDefault="00703CEE" w:rsidP="00F93325">
      <w:pPr>
        <w:jc w:val="both"/>
        <w:rPr>
          <w:rFonts w:ascii="Times New Roman" w:hAnsi="Times New Roman" w:cs="Times New Roman"/>
          <w:sz w:val="24"/>
          <w:szCs w:val="24"/>
        </w:rPr>
      </w:pPr>
      <w:r w:rsidRPr="00F93325">
        <w:rPr>
          <w:rFonts w:ascii="Times New Roman" w:hAnsi="Times New Roman" w:cs="Times New Roman"/>
          <w:sz w:val="24"/>
          <w:szCs w:val="24"/>
        </w:rPr>
        <w:t xml:space="preserve">Firstly, the sources of requirements of criminal trials will be explained. The area in which these requirements must be taken into account will be demarcated in the second part.  Subsequently, the principles concerning the independence, impartiality and competence of courts will be looked for. Finally, other procedural requirements that are much more detailed will be examined. </w:t>
      </w:r>
    </w:p>
    <w:p w:rsidR="00703CEE" w:rsidRPr="00F93325" w:rsidRDefault="00703CEE" w:rsidP="00F93325">
      <w:pPr>
        <w:jc w:val="both"/>
        <w:rPr>
          <w:rFonts w:ascii="Times New Roman" w:hAnsi="Times New Roman" w:cs="Times New Roman"/>
          <w:b/>
          <w:bCs/>
          <w:sz w:val="24"/>
          <w:szCs w:val="24"/>
        </w:rPr>
      </w:pPr>
      <w:r>
        <w:rPr>
          <w:rFonts w:ascii="Times New Roman" w:hAnsi="Times New Roman" w:cs="Times New Roman"/>
          <w:b/>
          <w:bCs/>
          <w:sz w:val="24"/>
          <w:szCs w:val="24"/>
        </w:rPr>
        <w:t xml:space="preserve">I - </w:t>
      </w:r>
      <w:r w:rsidRPr="00F93325">
        <w:rPr>
          <w:rFonts w:ascii="Times New Roman" w:hAnsi="Times New Roman" w:cs="Times New Roman"/>
          <w:b/>
          <w:bCs/>
          <w:sz w:val="24"/>
          <w:szCs w:val="24"/>
        </w:rPr>
        <w:t>SOURCES OF THE REQUIREMENTS</w:t>
      </w:r>
    </w:p>
    <w:p w:rsidR="00703CEE" w:rsidRPr="00F93325" w:rsidRDefault="00703CEE" w:rsidP="00F93325">
      <w:pPr>
        <w:jc w:val="both"/>
        <w:rPr>
          <w:rFonts w:ascii="Times New Roman" w:hAnsi="Times New Roman" w:cs="Times New Roman"/>
          <w:sz w:val="24"/>
          <w:szCs w:val="24"/>
        </w:rPr>
      </w:pPr>
      <w:r w:rsidRPr="00F93325">
        <w:rPr>
          <w:rFonts w:ascii="Times New Roman" w:hAnsi="Times New Roman" w:cs="Times New Roman"/>
          <w:sz w:val="24"/>
          <w:szCs w:val="24"/>
        </w:rPr>
        <w:t xml:space="preserve">In order to determine the principles of criminal </w:t>
      </w:r>
      <w:proofErr w:type="gramStart"/>
      <w:r w:rsidRPr="00F93325">
        <w:rPr>
          <w:rFonts w:ascii="Times New Roman" w:hAnsi="Times New Roman" w:cs="Times New Roman"/>
          <w:sz w:val="24"/>
          <w:szCs w:val="24"/>
        </w:rPr>
        <w:t>trials  it</w:t>
      </w:r>
      <w:proofErr w:type="gramEnd"/>
      <w:r w:rsidRPr="00F93325">
        <w:rPr>
          <w:rFonts w:ascii="Times New Roman" w:hAnsi="Times New Roman" w:cs="Times New Roman"/>
          <w:sz w:val="24"/>
          <w:szCs w:val="24"/>
        </w:rPr>
        <w:t xml:space="preserve"> is necessary to identify  the sources of IHRL which are listed in Article 38 of the Statute of International Court of Justice (ICJ)</w:t>
      </w:r>
      <w:r w:rsidRPr="00F93325">
        <w:rPr>
          <w:rStyle w:val="DipnotBavurusu"/>
          <w:rFonts w:ascii="Times New Roman" w:hAnsi="Times New Roman" w:cs="Times New Roman"/>
          <w:sz w:val="24"/>
          <w:szCs w:val="24"/>
        </w:rPr>
        <w:footnoteReference w:id="4"/>
      </w:r>
      <w:r w:rsidRPr="00F93325">
        <w:rPr>
          <w:rFonts w:ascii="Times New Roman" w:hAnsi="Times New Roman" w:cs="Times New Roman"/>
          <w:sz w:val="24"/>
          <w:szCs w:val="24"/>
        </w:rPr>
        <w:t>, part of the UN Charter. These are as follows: a) international conventions, b) international custom,</w:t>
      </w:r>
      <w:proofErr w:type="gramStart"/>
      <w:r w:rsidRPr="00F93325">
        <w:rPr>
          <w:rFonts w:ascii="Times New Roman" w:hAnsi="Times New Roman" w:cs="Times New Roman"/>
          <w:sz w:val="24"/>
          <w:szCs w:val="24"/>
        </w:rPr>
        <w:t xml:space="preserve"> c) the general principles of law recognized by civilized nations, and d) judicial decisions and teachings</w:t>
      </w:r>
      <w:proofErr w:type="gramEnd"/>
      <w:r w:rsidRPr="00F93325">
        <w:rPr>
          <w:rFonts w:ascii="Times New Roman" w:hAnsi="Times New Roman" w:cs="Times New Roman"/>
          <w:sz w:val="24"/>
          <w:szCs w:val="24"/>
        </w:rPr>
        <w:t xml:space="preserve">. The order of the application of sources was suggested to be as stated in Article 38, but this was </w:t>
      </w:r>
      <w:r w:rsidRPr="00F93325">
        <w:rPr>
          <w:rFonts w:ascii="Times New Roman" w:hAnsi="Times New Roman" w:cs="Times New Roman"/>
          <w:sz w:val="24"/>
          <w:szCs w:val="24"/>
        </w:rPr>
        <w:lastRenderedPageBreak/>
        <w:t>rejected.</w:t>
      </w:r>
      <w:r w:rsidRPr="00F93325">
        <w:rPr>
          <w:rStyle w:val="DipnotBavurusu"/>
          <w:rFonts w:ascii="Times New Roman" w:hAnsi="Times New Roman" w:cs="Times New Roman"/>
          <w:sz w:val="24"/>
          <w:szCs w:val="24"/>
        </w:rPr>
        <w:footnoteReference w:id="5"/>
      </w:r>
      <w:r w:rsidRPr="00F93325">
        <w:rPr>
          <w:rFonts w:ascii="Times New Roman" w:hAnsi="Times New Roman" w:cs="Times New Roman"/>
          <w:sz w:val="24"/>
          <w:szCs w:val="24"/>
        </w:rPr>
        <w:t xml:space="preserve"> Thus whether there is </w:t>
      </w:r>
      <w:proofErr w:type="gramStart"/>
      <w:r w:rsidRPr="00F93325">
        <w:rPr>
          <w:rFonts w:ascii="Times New Roman" w:hAnsi="Times New Roman" w:cs="Times New Roman"/>
          <w:sz w:val="24"/>
          <w:szCs w:val="24"/>
        </w:rPr>
        <w:t>a superiority</w:t>
      </w:r>
      <w:proofErr w:type="gramEnd"/>
      <w:r w:rsidRPr="00F93325">
        <w:rPr>
          <w:rFonts w:ascii="Times New Roman" w:hAnsi="Times New Roman" w:cs="Times New Roman"/>
          <w:sz w:val="24"/>
          <w:szCs w:val="24"/>
        </w:rPr>
        <w:t xml:space="preserve"> between treaties and custom is not clarified under that Article.</w:t>
      </w:r>
      <w:r w:rsidRPr="00F93325">
        <w:rPr>
          <w:rStyle w:val="DipnotBavurusu"/>
          <w:rFonts w:ascii="Times New Roman" w:hAnsi="Times New Roman" w:cs="Times New Roman"/>
          <w:sz w:val="24"/>
          <w:szCs w:val="24"/>
        </w:rPr>
        <w:footnoteReference w:id="6"/>
      </w:r>
      <w:r w:rsidRPr="00F93325">
        <w:rPr>
          <w:rFonts w:ascii="Times New Roman" w:hAnsi="Times New Roman" w:cs="Times New Roman"/>
          <w:sz w:val="24"/>
          <w:szCs w:val="24"/>
        </w:rPr>
        <w:t xml:space="preserve"> The only instrument with higher status is given as </w:t>
      </w:r>
      <w:r w:rsidRPr="00F93325">
        <w:rPr>
          <w:rFonts w:ascii="Times New Roman" w:hAnsi="Times New Roman" w:cs="Times New Roman"/>
          <w:i/>
          <w:iCs/>
          <w:sz w:val="24"/>
          <w:szCs w:val="24"/>
        </w:rPr>
        <w:t xml:space="preserve">jus </w:t>
      </w:r>
      <w:proofErr w:type="spellStart"/>
      <w:r w:rsidRPr="00F93325">
        <w:rPr>
          <w:rFonts w:ascii="Times New Roman" w:hAnsi="Times New Roman" w:cs="Times New Roman"/>
          <w:i/>
          <w:iCs/>
          <w:sz w:val="24"/>
          <w:szCs w:val="24"/>
        </w:rPr>
        <w:t>cogens</w:t>
      </w:r>
      <w:proofErr w:type="spellEnd"/>
      <w:r w:rsidRPr="00F93325">
        <w:rPr>
          <w:rStyle w:val="DipnotBavurusu"/>
          <w:rFonts w:ascii="Times New Roman" w:hAnsi="Times New Roman" w:cs="Times New Roman"/>
          <w:i/>
          <w:iCs/>
          <w:sz w:val="24"/>
          <w:szCs w:val="24"/>
        </w:rPr>
        <w:footnoteReference w:id="7"/>
      </w:r>
    </w:p>
    <w:p w:rsidR="00703CEE" w:rsidRPr="00F93325" w:rsidRDefault="00703CEE" w:rsidP="00F93325">
      <w:pPr>
        <w:pStyle w:val="AralkYok"/>
        <w:spacing w:after="200"/>
        <w:jc w:val="both"/>
        <w:rPr>
          <w:rFonts w:ascii="Times New Roman" w:hAnsi="Times New Roman" w:cs="Times New Roman"/>
          <w:sz w:val="24"/>
          <w:szCs w:val="24"/>
        </w:rPr>
      </w:pPr>
      <w:proofErr w:type="spellStart"/>
      <w:r w:rsidRPr="00F93325">
        <w:rPr>
          <w:rFonts w:ascii="Times New Roman" w:hAnsi="Times New Roman" w:cs="Times New Roman"/>
          <w:i/>
          <w:iCs/>
          <w:sz w:val="24"/>
          <w:szCs w:val="24"/>
        </w:rPr>
        <w:t>Chinkin</w:t>
      </w:r>
      <w:proofErr w:type="spellEnd"/>
      <w:r w:rsidRPr="00F93325">
        <w:rPr>
          <w:rFonts w:ascii="Times New Roman" w:hAnsi="Times New Roman" w:cs="Times New Roman"/>
          <w:sz w:val="24"/>
          <w:szCs w:val="24"/>
        </w:rPr>
        <w:t xml:space="preserve"> identifies two additional  sources of IHRL: 1-the, work of treaty bodies with their non-binding character, whose main function is to interpret the human rights treaties, 2-the resolutions of international institutions that set standards, some of which are binding such as security council resolutions while others are aspirational.</w:t>
      </w:r>
      <w:r w:rsidRPr="00F93325">
        <w:rPr>
          <w:rStyle w:val="DipnotBavurusu"/>
          <w:rFonts w:ascii="Times New Roman" w:hAnsi="Times New Roman" w:cs="Times New Roman"/>
          <w:sz w:val="24"/>
          <w:szCs w:val="24"/>
        </w:rPr>
        <w:footnoteReference w:id="8"/>
      </w:r>
    </w:p>
    <w:p w:rsidR="00703CEE" w:rsidRPr="00F93325" w:rsidRDefault="00703CEE" w:rsidP="00F93325">
      <w:pPr>
        <w:pStyle w:val="AralkYok"/>
        <w:spacing w:after="200"/>
        <w:jc w:val="both"/>
        <w:rPr>
          <w:rFonts w:ascii="Times New Roman" w:hAnsi="Times New Roman" w:cs="Times New Roman"/>
          <w:sz w:val="24"/>
          <w:szCs w:val="24"/>
        </w:rPr>
      </w:pPr>
      <w:r w:rsidRPr="00F93325">
        <w:rPr>
          <w:rFonts w:ascii="Times New Roman" w:hAnsi="Times New Roman" w:cs="Times New Roman"/>
          <w:sz w:val="24"/>
          <w:szCs w:val="24"/>
        </w:rPr>
        <w:t>The adoption of the Charter, which did not contain a catalogue of human rights (HR),  apart from isolated attempts in the past, was the starting point of substantial development in the area of international HR (IHR).</w:t>
      </w:r>
      <w:r w:rsidRPr="00F93325">
        <w:rPr>
          <w:rStyle w:val="DipnotBavurusu"/>
          <w:rFonts w:ascii="Times New Roman" w:hAnsi="Times New Roman" w:cs="Times New Roman"/>
          <w:sz w:val="24"/>
          <w:szCs w:val="24"/>
        </w:rPr>
        <w:footnoteReference w:id="9"/>
      </w:r>
      <w:r w:rsidRPr="00F93325">
        <w:rPr>
          <w:rFonts w:ascii="Times New Roman" w:hAnsi="Times New Roman" w:cs="Times New Roman"/>
          <w:sz w:val="24"/>
          <w:szCs w:val="24"/>
        </w:rPr>
        <w:t xml:space="preserve"> It was followed by the non-binding Universal Declaration of HR (UDHR) whose provisions are widely deemed to constitute customary international law or at least should be acknowledged as “general principles of law recognized by civilized nations”</w:t>
      </w:r>
      <w:r w:rsidRPr="00F93325">
        <w:rPr>
          <w:rStyle w:val="DipnotBavurusu"/>
          <w:rFonts w:ascii="Times New Roman" w:hAnsi="Times New Roman" w:cs="Times New Roman"/>
          <w:sz w:val="24"/>
          <w:szCs w:val="24"/>
        </w:rPr>
        <w:footnoteReference w:id="10"/>
      </w:r>
      <w:r w:rsidRPr="00F93325">
        <w:rPr>
          <w:rFonts w:ascii="Times New Roman" w:hAnsi="Times New Roman" w:cs="Times New Roman"/>
          <w:sz w:val="24"/>
          <w:szCs w:val="24"/>
        </w:rPr>
        <w:t xml:space="preserve"> and the binding treaty, International Covenant on Civil and Political </w:t>
      </w:r>
      <w:proofErr w:type="gramStart"/>
      <w:r w:rsidRPr="00F93325">
        <w:rPr>
          <w:rFonts w:ascii="Times New Roman" w:hAnsi="Times New Roman" w:cs="Times New Roman"/>
          <w:sz w:val="24"/>
          <w:szCs w:val="24"/>
        </w:rPr>
        <w:t>Rights(</w:t>
      </w:r>
      <w:proofErr w:type="gramEnd"/>
      <w:r w:rsidRPr="00F93325">
        <w:rPr>
          <w:rFonts w:ascii="Times New Roman" w:hAnsi="Times New Roman" w:cs="Times New Roman"/>
          <w:sz w:val="24"/>
          <w:szCs w:val="24"/>
        </w:rPr>
        <w:t>ICCPR).</w:t>
      </w:r>
      <w:r w:rsidRPr="00F93325">
        <w:rPr>
          <w:rStyle w:val="DipnotBavurusu"/>
          <w:rFonts w:ascii="Times New Roman" w:hAnsi="Times New Roman" w:cs="Times New Roman"/>
          <w:sz w:val="24"/>
          <w:szCs w:val="24"/>
        </w:rPr>
        <w:footnoteReference w:id="11"/>
      </w:r>
      <w:r w:rsidRPr="00F93325">
        <w:rPr>
          <w:rFonts w:ascii="Times New Roman" w:hAnsi="Times New Roman" w:cs="Times New Roman"/>
          <w:sz w:val="24"/>
          <w:szCs w:val="24"/>
        </w:rPr>
        <w:t xml:space="preserve"> Regional HR treaties are other developments in the area of IHR. While ICCPR has the HR Committee (HRC)</w:t>
      </w:r>
      <w:r w:rsidRPr="00F93325">
        <w:rPr>
          <w:rStyle w:val="DipnotBavurusu"/>
          <w:rFonts w:ascii="Times New Roman" w:hAnsi="Times New Roman" w:cs="Times New Roman"/>
          <w:sz w:val="24"/>
          <w:szCs w:val="24"/>
        </w:rPr>
        <w:footnoteReference w:id="12"/>
      </w:r>
      <w:r w:rsidRPr="00F93325">
        <w:rPr>
          <w:rFonts w:ascii="Times New Roman" w:hAnsi="Times New Roman" w:cs="Times New Roman"/>
          <w:sz w:val="24"/>
          <w:szCs w:val="24"/>
        </w:rPr>
        <w:t xml:space="preserve">, arguably a non-judicial organ with HR experts, other regional HR systems have their courts as supervisory bodies, which have elaborated in greater detail the content of HR since their establishment. In pointing out the breadth and sometimes vagueness of HRT provisions, </w:t>
      </w:r>
      <w:proofErr w:type="spellStart"/>
      <w:r w:rsidRPr="00F93325">
        <w:rPr>
          <w:rFonts w:ascii="Times New Roman" w:hAnsi="Times New Roman" w:cs="Times New Roman"/>
          <w:i/>
          <w:iCs/>
          <w:sz w:val="24"/>
          <w:szCs w:val="24"/>
        </w:rPr>
        <w:t>Mutua</w:t>
      </w:r>
      <w:proofErr w:type="spellEnd"/>
      <w:r w:rsidRPr="00F93325">
        <w:rPr>
          <w:rFonts w:ascii="Times New Roman" w:hAnsi="Times New Roman" w:cs="Times New Roman"/>
          <w:sz w:val="24"/>
          <w:szCs w:val="24"/>
        </w:rPr>
        <w:t xml:space="preserve"> rightly claims that treaty bodies transcend its interpretative functions and have actually set standards of HR.</w:t>
      </w:r>
      <w:r w:rsidRPr="00F93325">
        <w:rPr>
          <w:rStyle w:val="DipnotBavurusu"/>
          <w:rFonts w:ascii="Times New Roman" w:hAnsi="Times New Roman" w:cs="Times New Roman"/>
          <w:sz w:val="24"/>
          <w:szCs w:val="24"/>
        </w:rPr>
        <w:footnoteReference w:id="13"/>
      </w:r>
    </w:p>
    <w:p w:rsidR="00703CEE" w:rsidRPr="00F93325" w:rsidRDefault="00703CEE" w:rsidP="00F93325">
      <w:pPr>
        <w:pStyle w:val="AralkYok"/>
        <w:spacing w:after="200"/>
        <w:jc w:val="both"/>
        <w:rPr>
          <w:rFonts w:ascii="Times New Roman" w:hAnsi="Times New Roman" w:cs="Times New Roman"/>
          <w:b/>
          <w:bCs/>
          <w:sz w:val="24"/>
          <w:szCs w:val="24"/>
        </w:rPr>
      </w:pPr>
      <w:r>
        <w:rPr>
          <w:rFonts w:ascii="Times New Roman" w:hAnsi="Times New Roman" w:cs="Times New Roman"/>
          <w:b/>
          <w:bCs/>
          <w:sz w:val="24"/>
          <w:szCs w:val="24"/>
        </w:rPr>
        <w:t xml:space="preserve">II - </w:t>
      </w:r>
      <w:r w:rsidRPr="00F93325">
        <w:rPr>
          <w:rFonts w:ascii="Times New Roman" w:hAnsi="Times New Roman" w:cs="Times New Roman"/>
          <w:b/>
          <w:bCs/>
          <w:sz w:val="24"/>
          <w:szCs w:val="24"/>
        </w:rPr>
        <w:t>SCOPE OF CRIMINAL CHARGES</w:t>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A criminal charge required by Article 11(1) of UDHR and Article 14(1) of the ICCPR for an entitlement to rights listed by these provisions is an official notification by the relevant authority to the accused of the alleged crime.</w:t>
      </w:r>
      <w:r w:rsidRPr="00F93325">
        <w:rPr>
          <w:rStyle w:val="DipnotBavurusu"/>
          <w:rFonts w:ascii="Times New Roman" w:hAnsi="Times New Roman" w:cs="Times New Roman"/>
          <w:sz w:val="24"/>
          <w:szCs w:val="24"/>
        </w:rPr>
        <w:footnoteReference w:id="14"/>
      </w:r>
      <w:r w:rsidRPr="00F93325">
        <w:rPr>
          <w:rFonts w:ascii="Times New Roman" w:hAnsi="Times New Roman" w:cs="Times New Roman"/>
          <w:sz w:val="24"/>
          <w:szCs w:val="24"/>
        </w:rPr>
        <w:t xml:space="preserve">  However, some judicial proceedings such as search, arrest of the accused, or seizure may imply a criminal charge, thus constituting the starting point for procedural rights.</w:t>
      </w:r>
      <w:r w:rsidRPr="00F93325">
        <w:rPr>
          <w:rStyle w:val="DipnotBavurusu"/>
          <w:rFonts w:ascii="Times New Roman" w:hAnsi="Times New Roman" w:cs="Times New Roman"/>
          <w:sz w:val="24"/>
          <w:szCs w:val="24"/>
        </w:rPr>
        <w:footnoteReference w:id="15"/>
      </w:r>
      <w:r w:rsidRPr="00F93325">
        <w:rPr>
          <w:rFonts w:ascii="Times New Roman" w:hAnsi="Times New Roman" w:cs="Times New Roman"/>
          <w:sz w:val="24"/>
          <w:szCs w:val="24"/>
        </w:rPr>
        <w:t xml:space="preserve"> In order to prevent states circumventing, by regulating measures outside criminal proceedings,  their procedural guarantees and obligations concerning criminal charges the autonomous meaning of those charges  in relation to the administration of criminal justice is defined as follows  : ‘Criminal charges relate in principle to acts declared to be punishable under </w:t>
      </w:r>
      <w:r w:rsidRPr="00F93325">
        <w:rPr>
          <w:rFonts w:ascii="Times New Roman" w:hAnsi="Times New Roman" w:cs="Times New Roman"/>
          <w:sz w:val="24"/>
          <w:szCs w:val="24"/>
        </w:rPr>
        <w:lastRenderedPageBreak/>
        <w:t>domestic law’.</w:t>
      </w:r>
      <w:r w:rsidRPr="00F93325">
        <w:rPr>
          <w:rStyle w:val="DipnotBavurusu"/>
          <w:rFonts w:ascii="Times New Roman" w:hAnsi="Times New Roman" w:cs="Times New Roman"/>
          <w:sz w:val="24"/>
          <w:szCs w:val="24"/>
        </w:rPr>
        <w:footnoteReference w:id="16"/>
      </w:r>
      <w:r w:rsidRPr="00F93325">
        <w:rPr>
          <w:rFonts w:ascii="Times New Roman" w:hAnsi="Times New Roman" w:cs="Times New Roman"/>
          <w:sz w:val="24"/>
          <w:szCs w:val="24"/>
        </w:rPr>
        <w:t xml:space="preserve"> ‘The notion may also extend to acts that are criminal in nature with sanctions that, regardless of their qualification in domestic law, must be regarded as penal because of their purpose, character or severity’.</w:t>
      </w:r>
      <w:r w:rsidRPr="00F93325">
        <w:rPr>
          <w:rStyle w:val="DipnotBavurusu"/>
          <w:rFonts w:ascii="Times New Roman" w:hAnsi="Times New Roman" w:cs="Times New Roman"/>
          <w:sz w:val="24"/>
          <w:szCs w:val="24"/>
        </w:rPr>
        <w:footnoteReference w:id="17"/>
      </w:r>
      <w:r w:rsidRPr="00F93325">
        <w:rPr>
          <w:rFonts w:ascii="Times New Roman" w:hAnsi="Times New Roman" w:cs="Times New Roman"/>
          <w:sz w:val="24"/>
          <w:szCs w:val="24"/>
        </w:rPr>
        <w:t xml:space="preserve"> While the HRC held that disciplinary measures are not necessarily regarded as criminal charges unless they are penal in nature,</w:t>
      </w:r>
      <w:r w:rsidRPr="00F93325">
        <w:rPr>
          <w:rStyle w:val="DipnotBavurusu"/>
          <w:rFonts w:ascii="Times New Roman" w:hAnsi="Times New Roman" w:cs="Times New Roman"/>
          <w:sz w:val="24"/>
          <w:szCs w:val="24"/>
        </w:rPr>
        <w:footnoteReference w:id="18"/>
      </w:r>
      <w:r w:rsidRPr="00F93325">
        <w:rPr>
          <w:rFonts w:ascii="Times New Roman" w:hAnsi="Times New Roman" w:cs="Times New Roman"/>
          <w:sz w:val="24"/>
          <w:szCs w:val="24"/>
        </w:rPr>
        <w:t xml:space="preserve"> it did not further elaborate the meaning of the phrases “nature of sanctions”, “character or severity</w:t>
      </w:r>
      <w:r w:rsidR="00AE7CDC">
        <w:rPr>
          <w:rFonts w:ascii="Times New Roman" w:hAnsi="Times New Roman" w:cs="Times New Roman"/>
          <w:sz w:val="24"/>
          <w:szCs w:val="24"/>
        </w:rPr>
        <w:t>”</w:t>
      </w:r>
      <w:r w:rsidRPr="00F93325">
        <w:rPr>
          <w:rFonts w:ascii="Times New Roman" w:hAnsi="Times New Roman" w:cs="Times New Roman"/>
          <w:sz w:val="24"/>
          <w:szCs w:val="24"/>
        </w:rPr>
        <w:t>, and “purpose”.  More helpful judgments have been provided by the European Court of human rights.</w:t>
      </w:r>
      <w:r w:rsidRPr="00F93325">
        <w:rPr>
          <w:rStyle w:val="DipnotBavurusu"/>
          <w:rFonts w:ascii="Times New Roman" w:hAnsi="Times New Roman" w:cs="Times New Roman"/>
          <w:sz w:val="24"/>
          <w:szCs w:val="24"/>
        </w:rPr>
        <w:footnoteReference w:id="19"/>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 xml:space="preserve">In </w:t>
      </w:r>
      <w:r w:rsidRPr="00F93325">
        <w:rPr>
          <w:rFonts w:ascii="Times New Roman" w:hAnsi="Times New Roman" w:cs="Times New Roman"/>
          <w:i/>
          <w:iCs/>
          <w:sz w:val="24"/>
          <w:szCs w:val="24"/>
        </w:rPr>
        <w:t xml:space="preserve">Engel, </w:t>
      </w:r>
      <w:r w:rsidRPr="00F93325">
        <w:rPr>
          <w:rFonts w:ascii="Times New Roman" w:hAnsi="Times New Roman" w:cs="Times New Roman"/>
          <w:sz w:val="24"/>
          <w:szCs w:val="24"/>
        </w:rPr>
        <w:t>where the Court also attached importance to the size of the group to which impugned legislation had been applied, the two days’ strict arrest of army members for offences considered disciplinary by domestic law was not sufficient to be considered a criminal offence</w:t>
      </w:r>
      <w:r w:rsidRPr="00F93325">
        <w:rPr>
          <w:rStyle w:val="DipnotBavurusu"/>
          <w:rFonts w:ascii="Times New Roman" w:hAnsi="Times New Roman" w:cs="Times New Roman"/>
          <w:sz w:val="24"/>
          <w:szCs w:val="24"/>
        </w:rPr>
        <w:footnoteReference w:id="20"/>
      </w:r>
      <w:r w:rsidRPr="00F93325">
        <w:rPr>
          <w:rFonts w:ascii="Times New Roman" w:hAnsi="Times New Roman" w:cs="Times New Roman"/>
          <w:sz w:val="24"/>
          <w:szCs w:val="24"/>
        </w:rPr>
        <w:t>.Unlike</w:t>
      </w:r>
      <w:r w:rsidR="00D9526B">
        <w:rPr>
          <w:rFonts w:ascii="Times New Roman" w:hAnsi="Times New Roman" w:cs="Times New Roman"/>
          <w:sz w:val="24"/>
          <w:szCs w:val="24"/>
        </w:rPr>
        <w:t xml:space="preserve"> </w:t>
      </w:r>
      <w:r w:rsidRPr="00F93325">
        <w:rPr>
          <w:rFonts w:ascii="Times New Roman" w:hAnsi="Times New Roman" w:cs="Times New Roman"/>
          <w:sz w:val="24"/>
          <w:szCs w:val="24"/>
        </w:rPr>
        <w:t>the HRC, the Court did not find the seriousness of the sanction relevant when it ruled that 60 ‘</w:t>
      </w:r>
      <w:proofErr w:type="spellStart"/>
      <w:r w:rsidRPr="00F93325">
        <w:rPr>
          <w:rFonts w:ascii="Times New Roman" w:hAnsi="Times New Roman" w:cs="Times New Roman"/>
          <w:sz w:val="24"/>
          <w:szCs w:val="24"/>
        </w:rPr>
        <w:t>DM’sanction</w:t>
      </w:r>
      <w:proofErr w:type="spellEnd"/>
      <w:r w:rsidRPr="00F93325">
        <w:rPr>
          <w:rFonts w:ascii="Times New Roman" w:hAnsi="Times New Roman" w:cs="Times New Roman"/>
          <w:sz w:val="24"/>
          <w:szCs w:val="24"/>
        </w:rPr>
        <w:t xml:space="preserve"> imposed for a motoring offence was both discouraging and punitive and therefore was of criminal nature although it was classified as administrative by domestic law.</w:t>
      </w:r>
      <w:r w:rsidRPr="00F93325">
        <w:rPr>
          <w:rStyle w:val="DipnotBavurusu"/>
          <w:rFonts w:ascii="Times New Roman" w:hAnsi="Times New Roman" w:cs="Times New Roman"/>
          <w:sz w:val="24"/>
          <w:szCs w:val="24"/>
        </w:rPr>
        <w:footnoteReference w:id="21"/>
      </w:r>
      <w:r w:rsidRPr="00F93325">
        <w:rPr>
          <w:rFonts w:ascii="Times New Roman" w:hAnsi="Times New Roman" w:cs="Times New Roman"/>
          <w:sz w:val="24"/>
          <w:szCs w:val="24"/>
        </w:rPr>
        <w:t xml:space="preserve"> Contrarily, it referred to the severity of the penalty in </w:t>
      </w:r>
      <w:proofErr w:type="spellStart"/>
      <w:r w:rsidRPr="00F93325">
        <w:rPr>
          <w:rFonts w:ascii="Times New Roman" w:hAnsi="Times New Roman" w:cs="Times New Roman"/>
          <w:i/>
          <w:iCs/>
          <w:sz w:val="24"/>
          <w:szCs w:val="24"/>
        </w:rPr>
        <w:t>Benham</w:t>
      </w:r>
      <w:r w:rsidRPr="00F93325">
        <w:rPr>
          <w:rFonts w:ascii="Times New Roman" w:hAnsi="Times New Roman" w:cs="Times New Roman"/>
          <w:sz w:val="24"/>
          <w:szCs w:val="24"/>
        </w:rPr>
        <w:t>as</w:t>
      </w:r>
      <w:proofErr w:type="spellEnd"/>
      <w:r w:rsidRPr="00F93325">
        <w:rPr>
          <w:rFonts w:ascii="Times New Roman" w:hAnsi="Times New Roman" w:cs="Times New Roman"/>
          <w:sz w:val="24"/>
          <w:szCs w:val="24"/>
        </w:rPr>
        <w:t xml:space="preserve"> an established case law requirement for the existence of a criminal charge.</w:t>
      </w:r>
      <w:r w:rsidRPr="00F93325">
        <w:rPr>
          <w:rStyle w:val="DipnotBavurusu"/>
          <w:rFonts w:ascii="Times New Roman" w:hAnsi="Times New Roman" w:cs="Times New Roman"/>
          <w:sz w:val="24"/>
          <w:szCs w:val="24"/>
        </w:rPr>
        <w:footnoteReference w:id="22"/>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Among disciplinary sanctions, the national court’s imposition of a fine of about £75 on an individual who had made improper statements was non-criminal</w:t>
      </w:r>
      <w:r w:rsidRPr="00F93325">
        <w:rPr>
          <w:rStyle w:val="DipnotBavurusu"/>
          <w:rFonts w:ascii="Times New Roman" w:hAnsi="Times New Roman" w:cs="Times New Roman"/>
          <w:sz w:val="24"/>
          <w:szCs w:val="24"/>
        </w:rPr>
        <w:footnoteReference w:id="23"/>
      </w:r>
      <w:r w:rsidRPr="00F93325">
        <w:rPr>
          <w:rFonts w:ascii="Times New Roman" w:hAnsi="Times New Roman" w:cs="Times New Roman"/>
          <w:sz w:val="24"/>
          <w:szCs w:val="24"/>
        </w:rPr>
        <w:t>, while tax surcharges imposed on all citizens, convertible to imprisonment on non-fulfilment were regarded as criminal despite the classification by national law as administrative fines.</w:t>
      </w:r>
      <w:r w:rsidRPr="00F93325">
        <w:rPr>
          <w:rStyle w:val="DipnotBavurusu"/>
          <w:rFonts w:ascii="Times New Roman" w:hAnsi="Times New Roman" w:cs="Times New Roman"/>
          <w:sz w:val="24"/>
          <w:szCs w:val="24"/>
        </w:rPr>
        <w:footnoteReference w:id="24"/>
      </w:r>
      <w:r w:rsidRPr="00F93325">
        <w:rPr>
          <w:rFonts w:ascii="Times New Roman" w:hAnsi="Times New Roman" w:cs="Times New Roman"/>
          <w:sz w:val="24"/>
          <w:szCs w:val="24"/>
        </w:rPr>
        <w:t xml:space="preserve"> Finally, the court found the national court’s sanction imposed on a complainant for revealing case information to be criminal as it could concern all citizens.</w:t>
      </w:r>
      <w:r w:rsidRPr="00F93325">
        <w:rPr>
          <w:rStyle w:val="DipnotBavurusu"/>
          <w:rFonts w:ascii="Times New Roman" w:hAnsi="Times New Roman" w:cs="Times New Roman"/>
          <w:sz w:val="24"/>
          <w:szCs w:val="24"/>
        </w:rPr>
        <w:footnoteReference w:id="25"/>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 xml:space="preserve">The classification of an offence as outside the criminal sphere is advantageous for individuals: it frees them from the stigma of crime and from traumatic adjudication processes. It increases the quality of judicial service by excluding minor offences from the competence of courts, thereby reducing backlog. However, preserving the notion of justice amongst individuals requires the diligence in the classification of more serious offences, notably those concerning the direct or indirect deprivation of liberty (e.g. the conversion of a fine into imprisonment) </w:t>
      </w:r>
    </w:p>
    <w:p w:rsidR="00703CEE" w:rsidRPr="00F93325" w:rsidRDefault="00703CEE" w:rsidP="00F93325">
      <w:pPr>
        <w:pStyle w:val="AralkYok"/>
        <w:spacing w:after="200"/>
        <w:jc w:val="both"/>
        <w:rPr>
          <w:rFonts w:ascii="Times New Roman" w:hAnsi="Times New Roman" w:cs="Times New Roman"/>
          <w:b/>
          <w:bCs/>
          <w:sz w:val="24"/>
          <w:szCs w:val="24"/>
        </w:rPr>
      </w:pPr>
      <w:r>
        <w:rPr>
          <w:rFonts w:ascii="Times New Roman" w:hAnsi="Times New Roman" w:cs="Times New Roman"/>
          <w:b/>
          <w:bCs/>
          <w:sz w:val="24"/>
          <w:szCs w:val="24"/>
        </w:rPr>
        <w:t xml:space="preserve">III - </w:t>
      </w:r>
      <w:r w:rsidRPr="00F93325">
        <w:rPr>
          <w:rFonts w:ascii="Times New Roman" w:hAnsi="Times New Roman" w:cs="Times New Roman"/>
          <w:b/>
          <w:bCs/>
          <w:sz w:val="24"/>
          <w:szCs w:val="24"/>
        </w:rPr>
        <w:t>CERTAIN QUALITIES OF JUDICIARY</w:t>
      </w:r>
    </w:p>
    <w:p w:rsidR="00703CEE" w:rsidRPr="00F93325" w:rsidRDefault="00703CEE" w:rsidP="00F93325">
      <w:pPr>
        <w:pStyle w:val="AralkYok"/>
        <w:spacing w:after="200"/>
        <w:jc w:val="both"/>
        <w:rPr>
          <w:rFonts w:ascii="Times New Roman" w:hAnsi="Times New Roman" w:cs="Times New Roman"/>
          <w:sz w:val="24"/>
          <w:szCs w:val="24"/>
        </w:rPr>
      </w:pPr>
      <w:proofErr w:type="gramStart"/>
      <w:r w:rsidRPr="00F93325">
        <w:rPr>
          <w:rFonts w:ascii="Times New Roman" w:hAnsi="Times New Roman" w:cs="Times New Roman"/>
          <w:sz w:val="24"/>
          <w:szCs w:val="24"/>
        </w:rPr>
        <w:t>Article 14(1) of the ICCPR sets out the qualities of courts through which HR are maintained: impartiality, independence, and competence.</w:t>
      </w:r>
      <w:proofErr w:type="gramEnd"/>
      <w:r w:rsidRPr="00F93325">
        <w:rPr>
          <w:rFonts w:ascii="Times New Roman" w:hAnsi="Times New Roman" w:cs="Times New Roman"/>
          <w:sz w:val="24"/>
          <w:szCs w:val="24"/>
        </w:rPr>
        <w:t xml:space="preserve"> Moreover, the independence and impartiality of </w:t>
      </w:r>
      <w:r w:rsidRPr="00F93325">
        <w:rPr>
          <w:rFonts w:ascii="Times New Roman" w:hAnsi="Times New Roman" w:cs="Times New Roman"/>
          <w:sz w:val="24"/>
          <w:szCs w:val="24"/>
        </w:rPr>
        <w:lastRenderedPageBreak/>
        <w:t>courts are required by Article 10 of the UDHR. These are absolute requirements with no exceptions.</w:t>
      </w:r>
      <w:r w:rsidRPr="00F93325">
        <w:rPr>
          <w:rStyle w:val="DipnotBavurusu"/>
          <w:rFonts w:ascii="Times New Roman" w:hAnsi="Times New Roman" w:cs="Times New Roman"/>
          <w:sz w:val="24"/>
          <w:szCs w:val="24"/>
        </w:rPr>
        <w:footnoteReference w:id="26"/>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Independence of judiciary requires the prohibition of interference by both the executive and other parties. States are expected to guarantee and enshrine the principle of independence in their constitutions or ordinary law</w:t>
      </w:r>
      <w:r w:rsidRPr="00F93325">
        <w:rPr>
          <w:rStyle w:val="DipnotBavurusu"/>
          <w:rFonts w:ascii="Times New Roman" w:hAnsi="Times New Roman" w:cs="Times New Roman"/>
          <w:sz w:val="24"/>
          <w:szCs w:val="24"/>
        </w:rPr>
        <w:footnoteReference w:id="27"/>
      </w:r>
      <w:r w:rsidRPr="00F93325">
        <w:rPr>
          <w:rFonts w:ascii="Times New Roman" w:hAnsi="Times New Roman" w:cs="Times New Roman"/>
          <w:sz w:val="24"/>
          <w:szCs w:val="24"/>
        </w:rPr>
        <w:t>. Courts should be entitled to deal exclusively with issues of judicial character and to decide whether these issues are within the area of their jurisdiction.</w:t>
      </w:r>
      <w:r w:rsidRPr="00F93325">
        <w:rPr>
          <w:rStyle w:val="DipnotBavurusu"/>
          <w:rFonts w:ascii="Times New Roman" w:hAnsi="Times New Roman" w:cs="Times New Roman"/>
          <w:sz w:val="24"/>
          <w:szCs w:val="24"/>
        </w:rPr>
        <w:footnoteReference w:id="28"/>
      </w:r>
      <w:r w:rsidRPr="00F93325">
        <w:rPr>
          <w:rFonts w:ascii="Times New Roman" w:hAnsi="Times New Roman" w:cs="Times New Roman"/>
          <w:sz w:val="24"/>
          <w:szCs w:val="24"/>
        </w:rPr>
        <w:t xml:space="preserve"> Judicial review, lawful mitigation and commutation of sentences do not violate the principle of independence</w:t>
      </w:r>
      <w:r w:rsidRPr="00F93325">
        <w:rPr>
          <w:rStyle w:val="DipnotBavurusu"/>
          <w:rFonts w:ascii="Times New Roman" w:hAnsi="Times New Roman" w:cs="Times New Roman"/>
          <w:sz w:val="24"/>
          <w:szCs w:val="24"/>
        </w:rPr>
        <w:footnoteReference w:id="29"/>
      </w:r>
      <w:r w:rsidRPr="00F93325">
        <w:rPr>
          <w:rFonts w:ascii="Times New Roman" w:hAnsi="Times New Roman" w:cs="Times New Roman"/>
          <w:sz w:val="24"/>
          <w:szCs w:val="24"/>
        </w:rPr>
        <w:t>. Ad hoc tribunals may not be created to remove the established procedures of ordinary courts</w:t>
      </w:r>
      <w:r w:rsidRPr="00F93325">
        <w:rPr>
          <w:rStyle w:val="DipnotBavurusu"/>
          <w:rFonts w:ascii="Times New Roman" w:hAnsi="Times New Roman" w:cs="Times New Roman"/>
          <w:sz w:val="24"/>
          <w:szCs w:val="24"/>
        </w:rPr>
        <w:footnoteReference w:id="30"/>
      </w:r>
      <w:r w:rsidRPr="00F93325">
        <w:rPr>
          <w:rFonts w:ascii="Times New Roman" w:hAnsi="Times New Roman" w:cs="Times New Roman"/>
          <w:sz w:val="24"/>
          <w:szCs w:val="24"/>
        </w:rPr>
        <w:t>. ‘Clear procedures and objective criteria for the appointment, remuneration, tenure, promotion, suspension and dismissal of the members of the judiciary and disciplinary sanctions taken against them’ should be secured by law.</w:t>
      </w:r>
      <w:r w:rsidRPr="00F93325">
        <w:rPr>
          <w:rStyle w:val="DipnotBavurusu"/>
          <w:rFonts w:ascii="Times New Roman" w:hAnsi="Times New Roman" w:cs="Times New Roman"/>
          <w:sz w:val="24"/>
          <w:szCs w:val="24"/>
        </w:rPr>
        <w:footnoteReference w:id="31"/>
      </w:r>
      <w:r w:rsidRPr="00F93325">
        <w:rPr>
          <w:rFonts w:ascii="Times New Roman" w:hAnsi="Times New Roman" w:cs="Times New Roman"/>
          <w:sz w:val="24"/>
          <w:szCs w:val="24"/>
        </w:rPr>
        <w:t xml:space="preserve"> The area of competence of judiciary and executive should be clearly defined and control of the latter over </w:t>
      </w:r>
      <w:r>
        <w:rPr>
          <w:rFonts w:ascii="Times New Roman" w:hAnsi="Times New Roman" w:cs="Times New Roman"/>
          <w:sz w:val="24"/>
          <w:szCs w:val="24"/>
        </w:rPr>
        <w:t>the former should be prevented</w:t>
      </w:r>
      <w:r w:rsidRPr="00F93325">
        <w:rPr>
          <w:rStyle w:val="DipnotBavurusu"/>
          <w:rFonts w:ascii="Times New Roman" w:hAnsi="Times New Roman" w:cs="Times New Roman"/>
          <w:sz w:val="24"/>
          <w:szCs w:val="24"/>
        </w:rPr>
        <w:footnoteReference w:id="32"/>
      </w:r>
      <w:r>
        <w:rPr>
          <w:rFonts w:ascii="Times New Roman" w:hAnsi="Times New Roman" w:cs="Times New Roman"/>
          <w:sz w:val="24"/>
          <w:szCs w:val="24"/>
        </w:rPr>
        <w:t>.</w:t>
      </w:r>
      <w:r w:rsidRPr="00F93325">
        <w:rPr>
          <w:rFonts w:ascii="Times New Roman" w:hAnsi="Times New Roman" w:cs="Times New Roman"/>
          <w:sz w:val="24"/>
          <w:szCs w:val="24"/>
        </w:rPr>
        <w:t xml:space="preserve"> Turkey’s response to that requirement by amending its Constitution is illustrative: the proportion of ministerial officials in the Supreme Board of Judges and Public Prosecutors was reduced from 2 out of 7 to 2 out of 22.</w:t>
      </w:r>
      <w:r w:rsidRPr="00F93325">
        <w:rPr>
          <w:rStyle w:val="DipnotBavurusu"/>
          <w:rFonts w:ascii="Times New Roman" w:hAnsi="Times New Roman" w:cs="Times New Roman"/>
          <w:sz w:val="24"/>
          <w:szCs w:val="24"/>
        </w:rPr>
        <w:footnoteReference w:id="33"/>
      </w:r>
      <w:r w:rsidRPr="00F93325">
        <w:rPr>
          <w:rFonts w:ascii="Times New Roman" w:hAnsi="Times New Roman" w:cs="Times New Roman"/>
          <w:sz w:val="24"/>
          <w:szCs w:val="24"/>
        </w:rPr>
        <w:t xml:space="preserve"> Finally, Judges should be protected from conflicts and intimidation to ensure independence.</w:t>
      </w:r>
      <w:r w:rsidRPr="00F93325">
        <w:rPr>
          <w:rStyle w:val="DipnotBavurusu"/>
          <w:rFonts w:ascii="Times New Roman" w:hAnsi="Times New Roman" w:cs="Times New Roman"/>
          <w:sz w:val="24"/>
          <w:szCs w:val="24"/>
        </w:rPr>
        <w:footnoteReference w:id="34"/>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The principle of impartiality of courts has two aspects: a-judges should neither have personal bias and prejudice, nor act in a way that unfairly affects one of the parties and b-courts should appear impartial to a ’reasonable observer’.</w:t>
      </w:r>
      <w:r w:rsidRPr="00F93325">
        <w:rPr>
          <w:rStyle w:val="DipnotBavurusu"/>
          <w:rFonts w:ascii="Times New Roman" w:hAnsi="Times New Roman" w:cs="Times New Roman"/>
          <w:sz w:val="24"/>
          <w:szCs w:val="24"/>
        </w:rPr>
        <w:footnoteReference w:id="35"/>
      </w:r>
      <w:r w:rsidRPr="00F93325">
        <w:rPr>
          <w:rFonts w:ascii="Times New Roman" w:hAnsi="Times New Roman" w:cs="Times New Roman"/>
          <w:sz w:val="24"/>
          <w:szCs w:val="24"/>
        </w:rPr>
        <w:t xml:space="preserve"> The HRC is suspicious of military tribunals. Although these courts are not prohibited by the ICCPR they should only be used in very exceptional circumstances and be designed in a way that provide  all the requirements of a fair trial. </w:t>
      </w:r>
      <w:r w:rsidRPr="00F93325">
        <w:rPr>
          <w:rStyle w:val="DipnotBavurusu"/>
          <w:rFonts w:ascii="Times New Roman" w:hAnsi="Times New Roman" w:cs="Times New Roman"/>
          <w:sz w:val="24"/>
          <w:szCs w:val="24"/>
        </w:rPr>
        <w:footnoteReference w:id="36"/>
      </w:r>
      <w:r w:rsidRPr="00F93325">
        <w:rPr>
          <w:rFonts w:ascii="Times New Roman" w:hAnsi="Times New Roman" w:cs="Times New Roman"/>
          <w:sz w:val="24"/>
          <w:szCs w:val="24"/>
        </w:rPr>
        <w:t xml:space="preserve">  The HRC found a violation, for instance, when a political party leader was tried by a military court.</w:t>
      </w:r>
      <w:r w:rsidRPr="00F93325">
        <w:rPr>
          <w:rStyle w:val="DipnotBavurusu"/>
          <w:rFonts w:ascii="Times New Roman" w:hAnsi="Times New Roman" w:cs="Times New Roman"/>
          <w:sz w:val="24"/>
          <w:szCs w:val="24"/>
        </w:rPr>
        <w:footnoteReference w:id="37"/>
      </w:r>
      <w:r w:rsidRPr="00F93325">
        <w:rPr>
          <w:rFonts w:ascii="Times New Roman" w:hAnsi="Times New Roman" w:cs="Times New Roman"/>
          <w:sz w:val="24"/>
          <w:szCs w:val="24"/>
        </w:rPr>
        <w:t xml:space="preserve"> It specified that a trial by a military court, while exceptional, may be allowed when civilian courts are unable to conduct that trial.</w:t>
      </w:r>
      <w:r w:rsidRPr="00F93325">
        <w:rPr>
          <w:rStyle w:val="DipnotBavurusu"/>
          <w:rFonts w:ascii="Times New Roman" w:hAnsi="Times New Roman" w:cs="Times New Roman"/>
          <w:sz w:val="24"/>
          <w:szCs w:val="24"/>
        </w:rPr>
        <w:footnoteReference w:id="38"/>
      </w:r>
      <w:r w:rsidRPr="00F93325">
        <w:rPr>
          <w:rFonts w:ascii="Times New Roman" w:hAnsi="Times New Roman" w:cs="Times New Roman"/>
          <w:sz w:val="24"/>
          <w:szCs w:val="24"/>
        </w:rPr>
        <w:t xml:space="preserve"> A similar violation was found by the </w:t>
      </w:r>
      <w:proofErr w:type="spellStart"/>
      <w:r w:rsidRPr="00F93325">
        <w:rPr>
          <w:rFonts w:ascii="Times New Roman" w:hAnsi="Times New Roman" w:cs="Times New Roman"/>
          <w:sz w:val="24"/>
          <w:szCs w:val="24"/>
        </w:rPr>
        <w:t>ECtHR</w:t>
      </w:r>
      <w:proofErr w:type="spellEnd"/>
      <w:r w:rsidRPr="00F93325">
        <w:rPr>
          <w:rFonts w:ascii="Times New Roman" w:hAnsi="Times New Roman" w:cs="Times New Roman"/>
          <w:sz w:val="24"/>
          <w:szCs w:val="24"/>
        </w:rPr>
        <w:t xml:space="preserve"> in the trial of a civilian by a National Security Court which contained military personnel alongside two civilian judges, considering that the military judge may have been ill-motivated.</w:t>
      </w:r>
      <w:r w:rsidRPr="00F93325">
        <w:rPr>
          <w:rStyle w:val="DipnotBavurusu"/>
          <w:rFonts w:ascii="Times New Roman" w:hAnsi="Times New Roman" w:cs="Times New Roman"/>
          <w:sz w:val="24"/>
          <w:szCs w:val="24"/>
        </w:rPr>
        <w:footnoteReference w:id="39"/>
      </w:r>
      <w:r w:rsidRPr="00F93325">
        <w:rPr>
          <w:rFonts w:ascii="Times New Roman" w:hAnsi="Times New Roman" w:cs="Times New Roman"/>
          <w:sz w:val="24"/>
          <w:szCs w:val="24"/>
        </w:rPr>
        <w:t xml:space="preserve"> However, any evaluation of consistency with the aforementioned principles must be made with regard to fundamental principles and not merely in a formulaic manner. Therefore, the judgment in </w:t>
      </w:r>
      <w:proofErr w:type="spellStart"/>
      <w:r w:rsidRPr="00F93325">
        <w:rPr>
          <w:rFonts w:ascii="Times New Roman" w:hAnsi="Times New Roman" w:cs="Times New Roman"/>
          <w:sz w:val="24"/>
          <w:szCs w:val="24"/>
        </w:rPr>
        <w:t>Öcalan</w:t>
      </w:r>
      <w:proofErr w:type="spellEnd"/>
      <w:r w:rsidRPr="00F93325">
        <w:rPr>
          <w:rFonts w:ascii="Times New Roman" w:hAnsi="Times New Roman" w:cs="Times New Roman"/>
          <w:sz w:val="24"/>
          <w:szCs w:val="24"/>
        </w:rPr>
        <w:t>, finding a violation of Article 6(1) of the ECHR for the same reason was unfortunate.</w:t>
      </w:r>
      <w:r w:rsidRPr="00F93325">
        <w:rPr>
          <w:rStyle w:val="DipnotBavurusu"/>
          <w:rFonts w:ascii="Times New Roman" w:hAnsi="Times New Roman" w:cs="Times New Roman"/>
          <w:sz w:val="24"/>
          <w:szCs w:val="24"/>
        </w:rPr>
        <w:footnoteReference w:id="40"/>
      </w:r>
      <w:r w:rsidRPr="00F93325">
        <w:rPr>
          <w:rFonts w:ascii="Times New Roman" w:hAnsi="Times New Roman" w:cs="Times New Roman"/>
          <w:sz w:val="24"/>
          <w:szCs w:val="24"/>
        </w:rPr>
        <w:t xml:space="preserve">  Turkey </w:t>
      </w:r>
      <w:r w:rsidRPr="00F93325">
        <w:rPr>
          <w:rFonts w:ascii="Times New Roman" w:hAnsi="Times New Roman" w:cs="Times New Roman"/>
          <w:sz w:val="24"/>
          <w:szCs w:val="24"/>
        </w:rPr>
        <w:lastRenderedPageBreak/>
        <w:t>swiftly changed its law to replace the military judge, and the replacement judge had been involved since the beginning of the case,</w:t>
      </w:r>
      <w:r w:rsidRPr="00F93325">
        <w:rPr>
          <w:rStyle w:val="DipnotBavurusu"/>
          <w:rFonts w:ascii="Times New Roman" w:hAnsi="Times New Roman" w:cs="Times New Roman"/>
          <w:sz w:val="24"/>
          <w:szCs w:val="24"/>
        </w:rPr>
        <w:footnoteReference w:id="41"/>
      </w:r>
      <w:r w:rsidRPr="00F93325">
        <w:rPr>
          <w:rFonts w:ascii="Times New Roman" w:hAnsi="Times New Roman" w:cs="Times New Roman"/>
          <w:sz w:val="24"/>
          <w:szCs w:val="24"/>
        </w:rPr>
        <w:t xml:space="preserve"> yet the </w:t>
      </w:r>
      <w:proofErr w:type="spellStart"/>
      <w:r w:rsidRPr="00F93325">
        <w:rPr>
          <w:rFonts w:ascii="Times New Roman" w:hAnsi="Times New Roman" w:cs="Times New Roman"/>
          <w:sz w:val="24"/>
          <w:szCs w:val="24"/>
        </w:rPr>
        <w:t>ECtHR's</w:t>
      </w:r>
      <w:proofErr w:type="spellEnd"/>
      <w:r w:rsidRPr="00F93325">
        <w:rPr>
          <w:rFonts w:ascii="Times New Roman" w:hAnsi="Times New Roman" w:cs="Times New Roman"/>
          <w:sz w:val="24"/>
          <w:szCs w:val="24"/>
        </w:rPr>
        <w:t xml:space="preserve"> interpretation of the convention was simplistic, taking into consideration only general principles and not specific and relevant details. Concerning the issue of independence and impartiality, the way judges are </w:t>
      </w:r>
      <w:proofErr w:type="gramStart"/>
      <w:r w:rsidRPr="00F93325">
        <w:rPr>
          <w:rFonts w:ascii="Times New Roman" w:hAnsi="Times New Roman" w:cs="Times New Roman"/>
          <w:sz w:val="24"/>
          <w:szCs w:val="24"/>
        </w:rPr>
        <w:t>appointed,</w:t>
      </w:r>
      <w:proofErr w:type="gramEnd"/>
      <w:r w:rsidRPr="00F93325">
        <w:rPr>
          <w:rFonts w:ascii="Times New Roman" w:hAnsi="Times New Roman" w:cs="Times New Roman"/>
          <w:sz w:val="24"/>
          <w:szCs w:val="24"/>
        </w:rPr>
        <w:t xml:space="preserve"> the composition of the institution making those appointments, conditions for promotion and dismissal should be taken into account. </w:t>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i/>
          <w:iCs/>
          <w:sz w:val="24"/>
          <w:szCs w:val="24"/>
        </w:rPr>
        <w:t>Janis</w:t>
      </w:r>
      <w:r w:rsidRPr="00F93325">
        <w:rPr>
          <w:rFonts w:ascii="Times New Roman" w:hAnsi="Times New Roman" w:cs="Times New Roman"/>
          <w:sz w:val="24"/>
          <w:szCs w:val="24"/>
        </w:rPr>
        <w:t xml:space="preserve"> provides the following judgments of the </w:t>
      </w:r>
      <w:proofErr w:type="spellStart"/>
      <w:r w:rsidRPr="00F93325">
        <w:rPr>
          <w:rFonts w:ascii="Times New Roman" w:hAnsi="Times New Roman" w:cs="Times New Roman"/>
          <w:sz w:val="24"/>
          <w:szCs w:val="24"/>
        </w:rPr>
        <w:t>ECtHR</w:t>
      </w:r>
      <w:proofErr w:type="spellEnd"/>
      <w:r w:rsidRPr="00F93325">
        <w:rPr>
          <w:rFonts w:ascii="Times New Roman" w:hAnsi="Times New Roman" w:cs="Times New Roman"/>
          <w:sz w:val="24"/>
          <w:szCs w:val="24"/>
        </w:rPr>
        <w:t xml:space="preserve"> as examples of situations that violate the principle of impartiality: a) in </w:t>
      </w:r>
      <w:proofErr w:type="spellStart"/>
      <w:r w:rsidRPr="00F93325">
        <w:rPr>
          <w:rFonts w:ascii="Times New Roman" w:hAnsi="Times New Roman" w:cs="Times New Roman"/>
          <w:i/>
          <w:iCs/>
          <w:sz w:val="24"/>
          <w:szCs w:val="24"/>
        </w:rPr>
        <w:t>Procola</w:t>
      </w:r>
      <w:proofErr w:type="spellEnd"/>
      <w:r w:rsidRPr="00F93325">
        <w:rPr>
          <w:rFonts w:ascii="Times New Roman" w:hAnsi="Times New Roman" w:cs="Times New Roman"/>
          <w:i/>
          <w:iCs/>
          <w:sz w:val="24"/>
          <w:szCs w:val="24"/>
        </w:rPr>
        <w:t xml:space="preserve"> v Luxemburg,</w:t>
      </w:r>
      <w:r w:rsidRPr="00F93325">
        <w:rPr>
          <w:rFonts w:ascii="Times New Roman" w:hAnsi="Times New Roman" w:cs="Times New Roman"/>
          <w:sz w:val="24"/>
          <w:szCs w:val="24"/>
        </w:rPr>
        <w:t xml:space="preserve"> previous involvement of four out of five judges of the Council of State reviewing administrative decisions in a panel issuing an advisory opinion</w:t>
      </w:r>
      <w:r w:rsidRPr="00F93325">
        <w:rPr>
          <w:rStyle w:val="DipnotBavurusu"/>
          <w:rFonts w:ascii="Times New Roman" w:hAnsi="Times New Roman" w:cs="Times New Roman"/>
          <w:sz w:val="24"/>
          <w:szCs w:val="24"/>
        </w:rPr>
        <w:footnoteReference w:id="42"/>
      </w:r>
      <w:r w:rsidRPr="00F93325">
        <w:rPr>
          <w:rFonts w:ascii="Times New Roman" w:hAnsi="Times New Roman" w:cs="Times New Roman"/>
          <w:sz w:val="24"/>
          <w:szCs w:val="24"/>
        </w:rPr>
        <w:t xml:space="preserve">, b) in </w:t>
      </w:r>
      <w:proofErr w:type="spellStart"/>
      <w:r w:rsidRPr="00F93325">
        <w:rPr>
          <w:rFonts w:ascii="Times New Roman" w:hAnsi="Times New Roman" w:cs="Times New Roman"/>
          <w:i/>
          <w:iCs/>
          <w:sz w:val="24"/>
          <w:szCs w:val="24"/>
        </w:rPr>
        <w:t>Decubber</w:t>
      </w:r>
      <w:proofErr w:type="spellEnd"/>
      <w:r w:rsidRPr="00F93325">
        <w:rPr>
          <w:rFonts w:ascii="Times New Roman" w:hAnsi="Times New Roman" w:cs="Times New Roman"/>
          <w:i/>
          <w:iCs/>
          <w:sz w:val="24"/>
          <w:szCs w:val="24"/>
        </w:rPr>
        <w:t xml:space="preserve"> v Belgium,</w:t>
      </w:r>
      <w:r w:rsidRPr="00F93325">
        <w:rPr>
          <w:rFonts w:ascii="Times New Roman" w:hAnsi="Times New Roman" w:cs="Times New Roman"/>
          <w:sz w:val="24"/>
          <w:szCs w:val="24"/>
        </w:rPr>
        <w:t xml:space="preserve"> involvement of the judge who issued the arrest warrant in a trial who had previously been the investigating judge with extensive pre-trial duties of questioning the accused and hearing witnesses</w:t>
      </w:r>
      <w:r w:rsidRPr="00F93325">
        <w:rPr>
          <w:rStyle w:val="DipnotBavurusu"/>
          <w:rFonts w:ascii="Times New Roman" w:hAnsi="Times New Roman" w:cs="Times New Roman"/>
          <w:sz w:val="24"/>
          <w:szCs w:val="24"/>
        </w:rPr>
        <w:footnoteReference w:id="43"/>
      </w:r>
      <w:r w:rsidRPr="00F93325">
        <w:rPr>
          <w:rFonts w:ascii="Times New Roman" w:hAnsi="Times New Roman" w:cs="Times New Roman"/>
          <w:sz w:val="24"/>
          <w:szCs w:val="24"/>
        </w:rPr>
        <w:t xml:space="preserve">, 3) in </w:t>
      </w:r>
      <w:proofErr w:type="spellStart"/>
      <w:r w:rsidRPr="00F93325">
        <w:rPr>
          <w:rFonts w:ascii="Times New Roman" w:hAnsi="Times New Roman" w:cs="Times New Roman"/>
          <w:i/>
          <w:iCs/>
          <w:sz w:val="24"/>
          <w:szCs w:val="24"/>
        </w:rPr>
        <w:t>Hauschildt</w:t>
      </w:r>
      <w:proofErr w:type="spellEnd"/>
      <w:r w:rsidRPr="00F93325">
        <w:rPr>
          <w:rFonts w:ascii="Times New Roman" w:hAnsi="Times New Roman" w:cs="Times New Roman"/>
          <w:i/>
          <w:iCs/>
          <w:sz w:val="24"/>
          <w:szCs w:val="24"/>
        </w:rPr>
        <w:t xml:space="preserve"> v Denmark,</w:t>
      </w:r>
      <w:r w:rsidRPr="00F93325">
        <w:rPr>
          <w:rFonts w:ascii="Times New Roman" w:hAnsi="Times New Roman" w:cs="Times New Roman"/>
          <w:sz w:val="24"/>
          <w:szCs w:val="24"/>
        </w:rPr>
        <w:t xml:space="preserve"> a trial judge who made repeated rulings that required “particularly confirmed suspicion”</w:t>
      </w:r>
      <w:r w:rsidRPr="00F93325">
        <w:rPr>
          <w:rStyle w:val="DipnotBavurusu"/>
          <w:rFonts w:ascii="Times New Roman" w:hAnsi="Times New Roman" w:cs="Times New Roman"/>
          <w:sz w:val="24"/>
          <w:szCs w:val="24"/>
        </w:rPr>
        <w:footnoteReference w:id="44"/>
      </w:r>
      <w:r w:rsidRPr="00F93325">
        <w:rPr>
          <w:rFonts w:ascii="Times New Roman" w:hAnsi="Times New Roman" w:cs="Times New Roman"/>
          <w:sz w:val="24"/>
          <w:szCs w:val="24"/>
        </w:rPr>
        <w:t xml:space="preserve"> Nevertheless, in </w:t>
      </w:r>
      <w:proofErr w:type="spellStart"/>
      <w:r w:rsidRPr="00F93325">
        <w:rPr>
          <w:rFonts w:ascii="Times New Roman" w:hAnsi="Times New Roman" w:cs="Times New Roman"/>
          <w:i/>
          <w:iCs/>
          <w:sz w:val="24"/>
          <w:szCs w:val="24"/>
        </w:rPr>
        <w:t>Hauschildt</w:t>
      </w:r>
      <w:r w:rsidRPr="00F93325">
        <w:rPr>
          <w:rFonts w:ascii="Times New Roman" w:hAnsi="Times New Roman" w:cs="Times New Roman"/>
          <w:sz w:val="24"/>
          <w:szCs w:val="24"/>
        </w:rPr>
        <w:t>theCourtacknowledged</w:t>
      </w:r>
      <w:proofErr w:type="spellEnd"/>
      <w:r w:rsidRPr="00F93325">
        <w:rPr>
          <w:rFonts w:ascii="Times New Roman" w:hAnsi="Times New Roman" w:cs="Times New Roman"/>
          <w:sz w:val="24"/>
          <w:szCs w:val="24"/>
        </w:rPr>
        <w:t xml:space="preserve"> that the pre-involvement of a judge with the  sole duty of deciding on the existence or absence of reasons for detention was acceptable.</w:t>
      </w:r>
      <w:r w:rsidRPr="00F93325">
        <w:rPr>
          <w:rStyle w:val="DipnotBavurusu"/>
          <w:rFonts w:ascii="Times New Roman" w:hAnsi="Times New Roman" w:cs="Times New Roman"/>
          <w:sz w:val="24"/>
          <w:szCs w:val="24"/>
        </w:rPr>
        <w:t>.</w:t>
      </w:r>
      <w:r w:rsidRPr="00F93325">
        <w:rPr>
          <w:rStyle w:val="DipnotBavurusu"/>
          <w:rFonts w:ascii="Times New Roman" w:hAnsi="Times New Roman" w:cs="Times New Roman"/>
          <w:sz w:val="24"/>
          <w:szCs w:val="24"/>
        </w:rPr>
        <w:footnoteReference w:id="45"/>
      </w:r>
      <w:r w:rsidRPr="00F93325">
        <w:rPr>
          <w:rFonts w:ascii="Times New Roman" w:hAnsi="Times New Roman" w:cs="Times New Roman"/>
          <w:sz w:val="24"/>
          <w:szCs w:val="24"/>
        </w:rPr>
        <w:t xml:space="preserve"> Moreover, the </w:t>
      </w:r>
      <w:proofErr w:type="spellStart"/>
      <w:r w:rsidRPr="00F93325">
        <w:rPr>
          <w:rFonts w:ascii="Times New Roman" w:hAnsi="Times New Roman" w:cs="Times New Roman"/>
          <w:sz w:val="24"/>
          <w:szCs w:val="24"/>
        </w:rPr>
        <w:t>ECtHR</w:t>
      </w:r>
      <w:proofErr w:type="spellEnd"/>
      <w:r w:rsidRPr="00F93325">
        <w:rPr>
          <w:rFonts w:ascii="Times New Roman" w:hAnsi="Times New Roman" w:cs="Times New Roman"/>
          <w:sz w:val="24"/>
          <w:szCs w:val="24"/>
        </w:rPr>
        <w:t xml:space="preserve">, in </w:t>
      </w:r>
      <w:proofErr w:type="spellStart"/>
      <w:r w:rsidRPr="00F93325">
        <w:rPr>
          <w:rFonts w:ascii="Times New Roman" w:hAnsi="Times New Roman" w:cs="Times New Roman"/>
          <w:i/>
          <w:iCs/>
          <w:sz w:val="24"/>
          <w:szCs w:val="24"/>
        </w:rPr>
        <w:t>Nortier</w:t>
      </w:r>
      <w:proofErr w:type="spellEnd"/>
      <w:r w:rsidRPr="00F93325">
        <w:rPr>
          <w:rFonts w:ascii="Times New Roman" w:hAnsi="Times New Roman" w:cs="Times New Roman"/>
          <w:i/>
          <w:iCs/>
          <w:sz w:val="24"/>
          <w:szCs w:val="24"/>
        </w:rPr>
        <w:t xml:space="preserve"> v The Netherlands</w:t>
      </w:r>
      <w:r w:rsidRPr="00F93325">
        <w:rPr>
          <w:rFonts w:ascii="Times New Roman" w:hAnsi="Times New Roman" w:cs="Times New Roman"/>
          <w:sz w:val="24"/>
          <w:szCs w:val="24"/>
        </w:rPr>
        <w:t>, clarified that what is decisive is not merely the fact that the judge has been involved in pre-trial proceedings, but the nature and scope of these proceedings.</w:t>
      </w:r>
      <w:r w:rsidRPr="00F93325">
        <w:rPr>
          <w:rStyle w:val="DipnotBavurusu"/>
          <w:rFonts w:ascii="Times New Roman" w:hAnsi="Times New Roman" w:cs="Times New Roman"/>
          <w:sz w:val="24"/>
          <w:szCs w:val="24"/>
        </w:rPr>
        <w:footnoteReference w:id="46"/>
      </w:r>
      <w:r w:rsidRPr="00F93325">
        <w:rPr>
          <w:rFonts w:ascii="Times New Roman" w:hAnsi="Times New Roman" w:cs="Times New Roman"/>
          <w:sz w:val="24"/>
          <w:szCs w:val="24"/>
        </w:rPr>
        <w:t xml:space="preserve"> In fact, pre-trial decisions such as detention order, search warrant, </w:t>
      </w:r>
      <w:proofErr w:type="gramStart"/>
      <w:r w:rsidRPr="00F93325">
        <w:rPr>
          <w:rFonts w:ascii="Times New Roman" w:hAnsi="Times New Roman" w:cs="Times New Roman"/>
          <w:sz w:val="24"/>
          <w:szCs w:val="24"/>
        </w:rPr>
        <w:t>examination</w:t>
      </w:r>
      <w:proofErr w:type="gramEnd"/>
      <w:r w:rsidRPr="00F93325">
        <w:rPr>
          <w:rFonts w:ascii="Times New Roman" w:hAnsi="Times New Roman" w:cs="Times New Roman"/>
          <w:sz w:val="24"/>
          <w:szCs w:val="24"/>
        </w:rPr>
        <w:t xml:space="preserve"> of personal data, seizure, or confiscation are taken upon a suspicion that is not, in itself, sufficient to decide on the merits of the case. Thus, these decisions do not indicate that the judge making those decisions convinced that the accused has committed a crime.</w:t>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The competence of the judiciary, inter alia, implies the capability of judges to carry out trials that are fair. Appropriate training and capability of judges are required.</w:t>
      </w:r>
      <w:r w:rsidRPr="00F93325">
        <w:rPr>
          <w:rStyle w:val="DipnotBavurusu"/>
          <w:rFonts w:ascii="Times New Roman" w:hAnsi="Times New Roman" w:cs="Times New Roman"/>
          <w:sz w:val="24"/>
          <w:szCs w:val="24"/>
        </w:rPr>
        <w:footnoteReference w:id="47"/>
      </w:r>
      <w:r w:rsidRPr="00F93325">
        <w:rPr>
          <w:rFonts w:ascii="Times New Roman" w:hAnsi="Times New Roman" w:cs="Times New Roman"/>
          <w:sz w:val="24"/>
          <w:szCs w:val="24"/>
        </w:rPr>
        <w:t xml:space="preserve"> The selection process of judges should consider their merits, not improper motives.</w:t>
      </w:r>
      <w:r w:rsidRPr="00F93325">
        <w:rPr>
          <w:rStyle w:val="DipnotBavurusu"/>
          <w:rFonts w:ascii="Times New Roman" w:hAnsi="Times New Roman" w:cs="Times New Roman"/>
          <w:sz w:val="24"/>
          <w:szCs w:val="24"/>
        </w:rPr>
        <w:footnoteReference w:id="48"/>
      </w:r>
      <w:r w:rsidRPr="00F93325">
        <w:rPr>
          <w:rFonts w:ascii="Times New Roman" w:hAnsi="Times New Roman" w:cs="Times New Roman"/>
          <w:sz w:val="24"/>
          <w:szCs w:val="24"/>
        </w:rPr>
        <w:t xml:space="preserve"> Investment by the government to increase the efficiency and effectiveness of judiciary is imperative. In-service and pre-service training of judges on the issues of HR is essential. Legal instruments should be adopted to accelerate judicial proceedings as well as to reduce backlog.</w:t>
      </w:r>
    </w:p>
    <w:p w:rsidR="00703CEE" w:rsidRPr="00F93325" w:rsidRDefault="00703CEE" w:rsidP="00F93325">
      <w:pPr>
        <w:pStyle w:val="AralkYok"/>
        <w:spacing w:after="200"/>
        <w:jc w:val="both"/>
        <w:rPr>
          <w:rFonts w:ascii="Times New Roman" w:hAnsi="Times New Roman" w:cs="Times New Roman"/>
          <w:b/>
          <w:bCs/>
          <w:sz w:val="24"/>
          <w:szCs w:val="24"/>
        </w:rPr>
      </w:pPr>
      <w:r>
        <w:rPr>
          <w:rFonts w:ascii="Times New Roman" w:hAnsi="Times New Roman" w:cs="Times New Roman"/>
          <w:b/>
          <w:bCs/>
          <w:sz w:val="24"/>
          <w:szCs w:val="24"/>
        </w:rPr>
        <w:t xml:space="preserve">IV - </w:t>
      </w:r>
      <w:r w:rsidRPr="00F93325">
        <w:rPr>
          <w:rFonts w:ascii="Times New Roman" w:hAnsi="Times New Roman" w:cs="Times New Roman"/>
          <w:b/>
          <w:bCs/>
          <w:sz w:val="24"/>
          <w:szCs w:val="24"/>
        </w:rPr>
        <w:t>FAIR AND PUBLIC HEARING</w:t>
      </w:r>
    </w:p>
    <w:p w:rsidR="00703CEE" w:rsidRPr="00F93325" w:rsidRDefault="00703CEE" w:rsidP="00F93325">
      <w:pPr>
        <w:pStyle w:val="AralkYok"/>
        <w:spacing w:after="200"/>
        <w:jc w:val="both"/>
        <w:rPr>
          <w:rFonts w:ascii="Times New Roman" w:hAnsi="Times New Roman" w:cs="Times New Roman"/>
          <w:sz w:val="24"/>
          <w:szCs w:val="24"/>
        </w:rPr>
      </w:pPr>
      <w:r w:rsidRPr="00F93325">
        <w:rPr>
          <w:rFonts w:ascii="Times New Roman" w:hAnsi="Times New Roman" w:cs="Times New Roman"/>
          <w:sz w:val="24"/>
          <w:szCs w:val="24"/>
        </w:rPr>
        <w:t>Article 10(1) of the UDHR and Article 14(1) of the ICCPR require hearings by the court to be fair and public. Fair hearing requirements are elaborated in subsequent subparagraphs of Article 14 of the ICCPR.</w:t>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lastRenderedPageBreak/>
        <w:t>The term “public hearing” implies those court trials open to the general public. It includes the media and should not be restricted, for instance, to a particular category of persons.</w:t>
      </w:r>
      <w:r w:rsidRPr="00F93325">
        <w:rPr>
          <w:rStyle w:val="DipnotBavurusu"/>
          <w:rFonts w:ascii="Times New Roman" w:hAnsi="Times New Roman" w:cs="Times New Roman"/>
          <w:sz w:val="24"/>
          <w:szCs w:val="24"/>
        </w:rPr>
        <w:footnoteReference w:id="49"/>
      </w:r>
      <w:r w:rsidRPr="00F93325">
        <w:rPr>
          <w:rFonts w:ascii="Times New Roman" w:hAnsi="Times New Roman" w:cs="Times New Roman"/>
          <w:sz w:val="24"/>
          <w:szCs w:val="24"/>
        </w:rPr>
        <w:t xml:space="preserve"> The extent of judicial power and the independence of courts, while necessary, make the rights of parties extremely vulnerable in the absence of public scrutiny where courts are ill-motivated. Unjust trials, for example, have been conducted to pressurize “dissident groups” within some jurisdictions</w:t>
      </w:r>
      <w:r w:rsidRPr="00F93325">
        <w:rPr>
          <w:rStyle w:val="DipnotBavurusu"/>
          <w:rFonts w:ascii="Times New Roman" w:hAnsi="Times New Roman" w:cs="Times New Roman"/>
          <w:sz w:val="24"/>
          <w:szCs w:val="24"/>
        </w:rPr>
        <w:footnoteReference w:id="50"/>
      </w:r>
      <w:r w:rsidRPr="00F93325">
        <w:rPr>
          <w:rFonts w:ascii="Times New Roman" w:hAnsi="Times New Roman" w:cs="Times New Roman"/>
          <w:sz w:val="24"/>
          <w:szCs w:val="24"/>
        </w:rPr>
        <w:t>. The general public should be informed in advance of the time and venue of oral hearings and their participation should be facilitated.</w:t>
      </w:r>
      <w:r w:rsidRPr="00F93325">
        <w:rPr>
          <w:rStyle w:val="DipnotBavurusu"/>
          <w:rFonts w:ascii="Times New Roman" w:hAnsi="Times New Roman" w:cs="Times New Roman"/>
          <w:sz w:val="24"/>
          <w:szCs w:val="24"/>
        </w:rPr>
        <w:footnoteReference w:id="51"/>
      </w:r>
    </w:p>
    <w:p w:rsidR="00703CEE" w:rsidRPr="00F93325" w:rsidRDefault="00703CEE" w:rsidP="00F93325">
      <w:pPr>
        <w:pStyle w:val="AralkYok"/>
        <w:spacing w:after="200"/>
        <w:jc w:val="both"/>
        <w:rPr>
          <w:rFonts w:ascii="Times New Roman" w:hAnsi="Times New Roman" w:cs="Times New Roman"/>
          <w:sz w:val="24"/>
          <w:szCs w:val="24"/>
        </w:rPr>
      </w:pPr>
      <w:r w:rsidRPr="00F93325">
        <w:rPr>
          <w:rFonts w:ascii="Times New Roman" w:hAnsi="Times New Roman" w:cs="Times New Roman"/>
          <w:sz w:val="24"/>
          <w:szCs w:val="24"/>
        </w:rPr>
        <w:t>The right to a public hearing is not absolute and may be restricted where: a) it is required by public order, public morality, national security, or in the interests of the parties’ private life, b) in its strictest terms, publicity could prejudice the interests of justice</w:t>
      </w:r>
      <w:r w:rsidRPr="00F93325">
        <w:rPr>
          <w:rStyle w:val="DipnotBavurusu"/>
          <w:rFonts w:ascii="Times New Roman" w:hAnsi="Times New Roman" w:cs="Times New Roman"/>
          <w:sz w:val="24"/>
          <w:szCs w:val="24"/>
        </w:rPr>
        <w:footnoteReference w:id="52"/>
      </w:r>
      <w:r w:rsidRPr="00F93325">
        <w:rPr>
          <w:rFonts w:ascii="Times New Roman" w:hAnsi="Times New Roman" w:cs="Times New Roman"/>
          <w:sz w:val="24"/>
          <w:szCs w:val="24"/>
        </w:rPr>
        <w:t>, c) public participation is not required in pre-trial or appellate proceedings that merely consist of written submissions.</w:t>
      </w:r>
      <w:r w:rsidRPr="00F93325">
        <w:rPr>
          <w:rStyle w:val="DipnotBavurusu"/>
          <w:rFonts w:ascii="Times New Roman" w:hAnsi="Times New Roman" w:cs="Times New Roman"/>
          <w:sz w:val="24"/>
          <w:szCs w:val="24"/>
        </w:rPr>
        <w:footnoteReference w:id="53"/>
      </w:r>
      <w:r w:rsidRPr="00F93325">
        <w:rPr>
          <w:rFonts w:ascii="Times New Roman" w:hAnsi="Times New Roman" w:cs="Times New Roman"/>
          <w:sz w:val="24"/>
          <w:szCs w:val="24"/>
        </w:rPr>
        <w:t xml:space="preserve"> If the appellate court is empowered to review the judgment with factual aspects as well as legal then public access may be required</w:t>
      </w:r>
      <w:r w:rsidRPr="00F93325">
        <w:rPr>
          <w:rStyle w:val="DipnotBavurusu"/>
          <w:rFonts w:ascii="Times New Roman" w:hAnsi="Times New Roman" w:cs="Times New Roman"/>
          <w:sz w:val="24"/>
          <w:szCs w:val="24"/>
        </w:rPr>
        <w:footnoteReference w:id="54"/>
      </w:r>
      <w:r w:rsidRPr="00F93325">
        <w:rPr>
          <w:rFonts w:ascii="Times New Roman" w:hAnsi="Times New Roman" w:cs="Times New Roman"/>
          <w:sz w:val="24"/>
          <w:szCs w:val="24"/>
        </w:rPr>
        <w:t>. However, even when public access is restricted the judgment made should be available to the public, the only exception being ‘where the interest of juvenile persons otherwise requires or the proceedings concern matrimonial disputes or the guardianship of children.</w:t>
      </w:r>
      <w:r w:rsidRPr="00F93325">
        <w:rPr>
          <w:rStyle w:val="DipnotBavurusu"/>
          <w:rFonts w:ascii="Times New Roman" w:hAnsi="Times New Roman" w:cs="Times New Roman"/>
          <w:sz w:val="24"/>
          <w:szCs w:val="24"/>
        </w:rPr>
        <w:footnoteReference w:id="55"/>
      </w:r>
    </w:p>
    <w:p w:rsidR="00703CEE" w:rsidRPr="00F93325" w:rsidRDefault="00703CEE" w:rsidP="00F93325">
      <w:pPr>
        <w:pStyle w:val="AralkYok"/>
        <w:spacing w:after="200"/>
        <w:jc w:val="both"/>
        <w:rPr>
          <w:rFonts w:ascii="Times New Roman" w:hAnsi="Times New Roman" w:cs="Times New Roman"/>
          <w:sz w:val="24"/>
          <w:szCs w:val="24"/>
        </w:rPr>
      </w:pPr>
      <w:r w:rsidRPr="00F93325">
        <w:rPr>
          <w:rFonts w:ascii="Times New Roman" w:hAnsi="Times New Roman" w:cs="Times New Roman"/>
          <w:sz w:val="24"/>
          <w:szCs w:val="24"/>
        </w:rPr>
        <w:t>Public access requirements may present some challenges in certain circumstances. Certain members of the media, for example, may try to distort the facts of trials, or there may have been deliberate provocation of readers in order to obtain some personal benefit, or a particular outcome of the case may be the aim. Moreover, other than in certain circumstances, public access to judgments that identify individual parties may result in violation of their right to privacy</w:t>
      </w:r>
      <w:proofErr w:type="gramStart"/>
      <w:r w:rsidRPr="00F93325">
        <w:rPr>
          <w:rFonts w:ascii="Times New Roman" w:hAnsi="Times New Roman" w:cs="Times New Roman"/>
          <w:sz w:val="24"/>
          <w:szCs w:val="24"/>
        </w:rPr>
        <w:t>..</w:t>
      </w:r>
      <w:proofErr w:type="gramEnd"/>
      <w:r w:rsidRPr="00F93325">
        <w:rPr>
          <w:rFonts w:ascii="Times New Roman" w:hAnsi="Times New Roman" w:cs="Times New Roman"/>
          <w:sz w:val="24"/>
          <w:szCs w:val="24"/>
        </w:rPr>
        <w:t xml:space="preserve"> This drawback should be eliminated by deleting names of the parties or only showing the initials. Finally, in sensitive trials such as those involving terrorists or mafia suspects, large numbers of the public may request trial access. Limited court space may create difficulties in such circumstances. These issues should be dealt with in greater detail by HRT bodies.</w:t>
      </w:r>
    </w:p>
    <w:p w:rsidR="00703CEE" w:rsidRPr="00F93325" w:rsidRDefault="00703CEE" w:rsidP="00F93325">
      <w:pPr>
        <w:pStyle w:val="AralkYok"/>
        <w:spacing w:after="200"/>
        <w:jc w:val="both"/>
        <w:rPr>
          <w:rFonts w:ascii="Times New Roman" w:hAnsi="Times New Roman" w:cs="Times New Roman"/>
          <w:b/>
          <w:bCs/>
          <w:sz w:val="24"/>
          <w:szCs w:val="24"/>
        </w:rPr>
      </w:pPr>
      <w:r>
        <w:rPr>
          <w:rFonts w:ascii="Times New Roman" w:hAnsi="Times New Roman" w:cs="Times New Roman"/>
          <w:b/>
          <w:bCs/>
          <w:sz w:val="24"/>
          <w:szCs w:val="24"/>
        </w:rPr>
        <w:t xml:space="preserve">V - </w:t>
      </w:r>
      <w:r w:rsidRPr="00F93325">
        <w:rPr>
          <w:rFonts w:ascii="Times New Roman" w:hAnsi="Times New Roman" w:cs="Times New Roman"/>
          <w:b/>
          <w:bCs/>
          <w:sz w:val="24"/>
          <w:szCs w:val="24"/>
        </w:rPr>
        <w:t>PRESUMPTION OF INNOCENCE, RIGHT TO REMAIN SILENT, FREEDOM FROM SELF-INCRIMINATION:</w:t>
      </w:r>
    </w:p>
    <w:p w:rsidR="00703CEE" w:rsidRPr="00F93325" w:rsidRDefault="00703CEE" w:rsidP="00F93325">
      <w:pPr>
        <w:pStyle w:val="AralkYok"/>
        <w:spacing w:after="200"/>
        <w:jc w:val="both"/>
        <w:rPr>
          <w:rFonts w:ascii="Times New Roman" w:hAnsi="Times New Roman" w:cs="Times New Roman"/>
          <w:sz w:val="24"/>
          <w:szCs w:val="24"/>
        </w:rPr>
      </w:pPr>
      <w:r w:rsidRPr="00F93325">
        <w:rPr>
          <w:rFonts w:ascii="Times New Roman" w:hAnsi="Times New Roman" w:cs="Times New Roman"/>
          <w:sz w:val="24"/>
          <w:szCs w:val="24"/>
        </w:rPr>
        <w:t xml:space="preserve">Article 11 of the Universal Declaration, Article 14(2) of the ICCPR and many other international and national legal documents require that everyone has the right to be presumed innocent until otherwise proven. The right to not be compelled to testify against </w:t>
      </w:r>
      <w:proofErr w:type="gramStart"/>
      <w:r w:rsidRPr="00F93325">
        <w:rPr>
          <w:rFonts w:ascii="Times New Roman" w:hAnsi="Times New Roman" w:cs="Times New Roman"/>
          <w:sz w:val="24"/>
          <w:szCs w:val="24"/>
        </w:rPr>
        <w:t>himself</w:t>
      </w:r>
      <w:proofErr w:type="gramEnd"/>
      <w:r w:rsidRPr="00F93325">
        <w:rPr>
          <w:rStyle w:val="DipnotBavurusu"/>
          <w:rFonts w:ascii="Times New Roman" w:hAnsi="Times New Roman" w:cs="Times New Roman"/>
          <w:sz w:val="24"/>
          <w:szCs w:val="24"/>
        </w:rPr>
        <w:footnoteReference w:id="56"/>
      </w:r>
      <w:r w:rsidRPr="00F93325">
        <w:rPr>
          <w:rFonts w:ascii="Times New Roman" w:hAnsi="Times New Roman" w:cs="Times New Roman"/>
          <w:sz w:val="24"/>
          <w:szCs w:val="24"/>
        </w:rPr>
        <w:t xml:space="preserve"> is closely related to that right. It follows that if the prosecution is unsuccessful in proving guilt then the decision should be made in favour of the defendant</w:t>
      </w:r>
      <w:r w:rsidRPr="00F93325">
        <w:rPr>
          <w:rStyle w:val="DipnotBavurusu"/>
          <w:rFonts w:ascii="Times New Roman" w:hAnsi="Times New Roman" w:cs="Times New Roman"/>
          <w:sz w:val="24"/>
          <w:szCs w:val="24"/>
        </w:rPr>
        <w:footnoteReference w:id="57"/>
      </w:r>
      <w:r w:rsidRPr="00F93325">
        <w:rPr>
          <w:rFonts w:ascii="Times New Roman" w:hAnsi="Times New Roman" w:cs="Times New Roman"/>
          <w:sz w:val="24"/>
          <w:szCs w:val="24"/>
        </w:rPr>
        <w:t xml:space="preserve">. The widespread acceptance of this principle, and the fact that ‘it can never become necessary to derogate from these rights during a state of </w:t>
      </w:r>
      <w:r w:rsidRPr="00F93325">
        <w:rPr>
          <w:rFonts w:ascii="Times New Roman" w:hAnsi="Times New Roman" w:cs="Times New Roman"/>
          <w:sz w:val="24"/>
          <w:szCs w:val="24"/>
        </w:rPr>
        <w:lastRenderedPageBreak/>
        <w:t xml:space="preserve">emergency’, resulted in the acceptance of the principle </w:t>
      </w:r>
      <w:proofErr w:type="gramStart"/>
      <w:r w:rsidRPr="00F93325">
        <w:rPr>
          <w:rFonts w:ascii="Times New Roman" w:hAnsi="Times New Roman" w:cs="Times New Roman"/>
          <w:sz w:val="24"/>
          <w:szCs w:val="24"/>
        </w:rPr>
        <w:t xml:space="preserve">as  </w:t>
      </w:r>
      <w:proofErr w:type="spellStart"/>
      <w:r w:rsidRPr="00F93325">
        <w:rPr>
          <w:rFonts w:ascii="Times New Roman" w:hAnsi="Times New Roman" w:cs="Times New Roman"/>
          <w:i/>
          <w:iCs/>
          <w:sz w:val="24"/>
          <w:szCs w:val="24"/>
        </w:rPr>
        <w:t>juscogens</w:t>
      </w:r>
      <w:proofErr w:type="spellEnd"/>
      <w:proofErr w:type="gramEnd"/>
      <w:r w:rsidRPr="00F93325">
        <w:rPr>
          <w:rStyle w:val="DipnotBavurusu"/>
          <w:rFonts w:ascii="Times New Roman" w:hAnsi="Times New Roman" w:cs="Times New Roman"/>
          <w:i/>
          <w:iCs/>
          <w:sz w:val="24"/>
          <w:szCs w:val="24"/>
        </w:rPr>
        <w:footnoteReference w:id="58"/>
      </w:r>
      <w:r w:rsidRPr="00F93325">
        <w:rPr>
          <w:rFonts w:ascii="Times New Roman" w:hAnsi="Times New Roman" w:cs="Times New Roman"/>
          <w:i/>
          <w:iCs/>
          <w:sz w:val="24"/>
          <w:szCs w:val="24"/>
        </w:rPr>
        <w:t xml:space="preserve">, </w:t>
      </w:r>
      <w:r w:rsidRPr="00F93325">
        <w:rPr>
          <w:rFonts w:ascii="Times New Roman" w:hAnsi="Times New Roman" w:cs="Times New Roman"/>
          <w:sz w:val="24"/>
          <w:szCs w:val="24"/>
        </w:rPr>
        <w:t>which may not be overridden</w:t>
      </w:r>
      <w:r w:rsidRPr="00F93325">
        <w:rPr>
          <w:rStyle w:val="DipnotBavurusu"/>
          <w:rFonts w:ascii="Times New Roman" w:hAnsi="Times New Roman" w:cs="Times New Roman"/>
          <w:sz w:val="24"/>
          <w:szCs w:val="24"/>
        </w:rPr>
        <w:footnoteReference w:id="59"/>
      </w:r>
      <w:r w:rsidRPr="00F93325">
        <w:rPr>
          <w:rFonts w:ascii="Times New Roman" w:hAnsi="Times New Roman" w:cs="Times New Roman"/>
          <w:sz w:val="24"/>
          <w:szCs w:val="24"/>
        </w:rPr>
        <w:t>.</w:t>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The principle requires that judicial bodies as well as other state organs must refrain from any prejudice.</w:t>
      </w:r>
      <w:r w:rsidRPr="00F93325">
        <w:rPr>
          <w:rStyle w:val="DipnotBavurusu"/>
          <w:rFonts w:ascii="Times New Roman" w:hAnsi="Times New Roman" w:cs="Times New Roman"/>
          <w:sz w:val="24"/>
          <w:szCs w:val="24"/>
        </w:rPr>
        <w:footnoteReference w:id="60"/>
      </w:r>
      <w:r w:rsidRPr="00F93325">
        <w:rPr>
          <w:rFonts w:ascii="Times New Roman" w:hAnsi="Times New Roman" w:cs="Times New Roman"/>
          <w:sz w:val="24"/>
          <w:szCs w:val="24"/>
        </w:rPr>
        <w:t xml:space="preserve"> The media may not be allowed to publish information detrimental to the presumption of innocence</w:t>
      </w:r>
      <w:r w:rsidRPr="00F93325">
        <w:rPr>
          <w:rStyle w:val="DipnotBavurusu"/>
          <w:rFonts w:ascii="Times New Roman" w:hAnsi="Times New Roman" w:cs="Times New Roman"/>
          <w:sz w:val="24"/>
          <w:szCs w:val="24"/>
        </w:rPr>
        <w:footnoteReference w:id="61"/>
      </w:r>
      <w:r w:rsidRPr="00F93325">
        <w:rPr>
          <w:rFonts w:ascii="Times New Roman" w:hAnsi="Times New Roman" w:cs="Times New Roman"/>
          <w:sz w:val="24"/>
          <w:szCs w:val="24"/>
        </w:rPr>
        <w:t xml:space="preserve">. Neither the length of pre-trial detention, nor the denial of bail, nor the outcome of civil proceedings </w:t>
      </w:r>
      <w:proofErr w:type="gramStart"/>
      <w:r w:rsidRPr="00F93325">
        <w:rPr>
          <w:rFonts w:ascii="Times New Roman" w:hAnsi="Times New Roman" w:cs="Times New Roman"/>
          <w:sz w:val="24"/>
          <w:szCs w:val="24"/>
        </w:rPr>
        <w:t>should  affect</w:t>
      </w:r>
      <w:proofErr w:type="gramEnd"/>
      <w:r w:rsidRPr="00F93325">
        <w:rPr>
          <w:rFonts w:ascii="Times New Roman" w:hAnsi="Times New Roman" w:cs="Times New Roman"/>
          <w:sz w:val="24"/>
          <w:szCs w:val="24"/>
        </w:rPr>
        <w:t xml:space="preserve"> the presumption of innocence.</w:t>
      </w:r>
      <w:r w:rsidRPr="00F93325">
        <w:rPr>
          <w:rStyle w:val="DipnotBavurusu"/>
          <w:rFonts w:ascii="Times New Roman" w:hAnsi="Times New Roman" w:cs="Times New Roman"/>
          <w:sz w:val="24"/>
          <w:szCs w:val="24"/>
        </w:rPr>
        <w:footnoteReference w:id="62"/>
      </w:r>
      <w:r w:rsidRPr="00F93325">
        <w:rPr>
          <w:rFonts w:ascii="Times New Roman" w:hAnsi="Times New Roman" w:cs="Times New Roman"/>
          <w:sz w:val="24"/>
          <w:szCs w:val="24"/>
        </w:rPr>
        <w:t xml:space="preserve"> Positive measures should also be taken by the state authorities to ensure the presumption of innocence. The HRC found violation when, for example, a trial room was packed with members of the public shouting that the defendant should have been sentenced to death.</w:t>
      </w:r>
      <w:r w:rsidRPr="00F93325">
        <w:rPr>
          <w:rStyle w:val="DipnotBavurusu"/>
          <w:rFonts w:ascii="Times New Roman" w:hAnsi="Times New Roman" w:cs="Times New Roman"/>
          <w:sz w:val="24"/>
          <w:szCs w:val="24"/>
        </w:rPr>
        <w:footnoteReference w:id="63"/>
      </w:r>
      <w:r w:rsidRPr="00F93325">
        <w:rPr>
          <w:rFonts w:ascii="Times New Roman" w:hAnsi="Times New Roman" w:cs="Times New Roman"/>
          <w:sz w:val="24"/>
          <w:szCs w:val="24"/>
        </w:rPr>
        <w:t xml:space="preserve"> However, actions for gathering evidence such as, search, seizure, and examination of DNA samples are consistent with the principle.</w:t>
      </w:r>
      <w:r w:rsidRPr="00F93325">
        <w:rPr>
          <w:rStyle w:val="DipnotBavurusu"/>
          <w:rFonts w:ascii="Times New Roman" w:hAnsi="Times New Roman" w:cs="Times New Roman"/>
          <w:sz w:val="24"/>
          <w:szCs w:val="24"/>
        </w:rPr>
        <w:footnoteReference w:id="64"/>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 xml:space="preserve">Article 14(3)-g of the ICCPR stipulates that everyone has the right not to be compelled to testify against </w:t>
      </w:r>
      <w:proofErr w:type="gramStart"/>
      <w:r w:rsidRPr="00F93325">
        <w:rPr>
          <w:rFonts w:ascii="Times New Roman" w:hAnsi="Times New Roman" w:cs="Times New Roman"/>
          <w:sz w:val="24"/>
          <w:szCs w:val="24"/>
        </w:rPr>
        <w:t>himself</w:t>
      </w:r>
      <w:proofErr w:type="gramEnd"/>
      <w:r w:rsidRPr="00F93325">
        <w:rPr>
          <w:rFonts w:ascii="Times New Roman" w:hAnsi="Times New Roman" w:cs="Times New Roman"/>
          <w:sz w:val="24"/>
          <w:szCs w:val="24"/>
        </w:rPr>
        <w:t xml:space="preserve"> or to confess guilt concerning criminal proceedings. Similarly, any direct or indirect physical or improper psychological pressure by investigatory authorities is prohibited.</w:t>
      </w:r>
      <w:r w:rsidRPr="00F93325">
        <w:rPr>
          <w:rStyle w:val="DipnotBavurusu"/>
          <w:rFonts w:ascii="Times New Roman" w:hAnsi="Times New Roman" w:cs="Times New Roman"/>
          <w:sz w:val="24"/>
          <w:szCs w:val="24"/>
        </w:rPr>
        <w:footnoteReference w:id="65"/>
      </w:r>
      <w:r w:rsidRPr="00F93325">
        <w:rPr>
          <w:rFonts w:ascii="Times New Roman" w:hAnsi="Times New Roman" w:cs="Times New Roman"/>
          <w:sz w:val="24"/>
          <w:szCs w:val="24"/>
        </w:rPr>
        <w:t xml:space="preserve"> The HRC clarified that statements or confessions obtained by torture must be excluded from the evidence by domestic law.</w:t>
      </w:r>
      <w:r w:rsidRPr="00F93325">
        <w:rPr>
          <w:rStyle w:val="DipnotBavurusu"/>
          <w:rFonts w:ascii="Times New Roman" w:hAnsi="Times New Roman" w:cs="Times New Roman"/>
          <w:sz w:val="24"/>
          <w:szCs w:val="24"/>
        </w:rPr>
        <w:footnoteReference w:id="66"/>
      </w:r>
      <w:r w:rsidRPr="00F93325">
        <w:rPr>
          <w:rFonts w:ascii="Times New Roman" w:hAnsi="Times New Roman" w:cs="Times New Roman"/>
          <w:sz w:val="24"/>
          <w:szCs w:val="24"/>
        </w:rPr>
        <w:t xml:space="preserve"> This exclusion is also a clear requirement of Article 15 of the UN Convention </w:t>
      </w:r>
      <w:proofErr w:type="gramStart"/>
      <w:r w:rsidRPr="00F93325">
        <w:rPr>
          <w:rFonts w:ascii="Times New Roman" w:hAnsi="Times New Roman" w:cs="Times New Roman"/>
          <w:sz w:val="24"/>
          <w:szCs w:val="24"/>
        </w:rPr>
        <w:t>Against</w:t>
      </w:r>
      <w:proofErr w:type="gramEnd"/>
      <w:r w:rsidRPr="00F93325">
        <w:rPr>
          <w:rFonts w:ascii="Times New Roman" w:hAnsi="Times New Roman" w:cs="Times New Roman"/>
          <w:sz w:val="24"/>
          <w:szCs w:val="24"/>
        </w:rPr>
        <w:t xml:space="preserve"> Torture.</w:t>
      </w:r>
      <w:r w:rsidRPr="00F93325">
        <w:rPr>
          <w:rStyle w:val="DipnotBavurusu"/>
          <w:rFonts w:ascii="Times New Roman" w:hAnsi="Times New Roman" w:cs="Times New Roman"/>
          <w:sz w:val="24"/>
          <w:szCs w:val="24"/>
        </w:rPr>
        <w:footnoteReference w:id="67"/>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The right to remain silent during a criminal investigation is an inherent requirement of Article 14</w:t>
      </w:r>
      <w:proofErr w:type="gramStart"/>
      <w:r w:rsidRPr="00F93325">
        <w:rPr>
          <w:rFonts w:ascii="Times New Roman" w:hAnsi="Times New Roman" w:cs="Times New Roman"/>
          <w:sz w:val="24"/>
          <w:szCs w:val="24"/>
        </w:rPr>
        <w:t>,  deduced</w:t>
      </w:r>
      <w:proofErr w:type="gramEnd"/>
      <w:r w:rsidRPr="00F93325">
        <w:rPr>
          <w:rFonts w:ascii="Times New Roman" w:hAnsi="Times New Roman" w:cs="Times New Roman"/>
          <w:sz w:val="24"/>
          <w:szCs w:val="24"/>
        </w:rPr>
        <w:t xml:space="preserve"> from the express right of presumption of innocence.</w:t>
      </w:r>
      <w:r w:rsidRPr="00F93325">
        <w:rPr>
          <w:rStyle w:val="DipnotBavurusu"/>
          <w:rFonts w:ascii="Times New Roman" w:hAnsi="Times New Roman" w:cs="Times New Roman"/>
          <w:sz w:val="24"/>
          <w:szCs w:val="24"/>
        </w:rPr>
        <w:footnoteReference w:id="68"/>
      </w:r>
      <w:r w:rsidRPr="00F93325">
        <w:rPr>
          <w:rFonts w:ascii="Times New Roman" w:hAnsi="Times New Roman" w:cs="Times New Roman"/>
          <w:sz w:val="24"/>
          <w:szCs w:val="24"/>
        </w:rPr>
        <w:t xml:space="preserve"> Moreover it is incorporated into many national laws such as Article 114(b)-2 of German and Article 147(1)-e of Turkish Criminal Procedure Code. However, case law of the </w:t>
      </w:r>
      <w:proofErr w:type="spellStart"/>
      <w:r w:rsidRPr="00F93325">
        <w:rPr>
          <w:rFonts w:ascii="Times New Roman" w:hAnsi="Times New Roman" w:cs="Times New Roman"/>
          <w:sz w:val="24"/>
          <w:szCs w:val="24"/>
        </w:rPr>
        <w:t>ECtHR</w:t>
      </w:r>
      <w:proofErr w:type="spellEnd"/>
      <w:r w:rsidRPr="00F93325">
        <w:rPr>
          <w:rFonts w:ascii="Times New Roman" w:hAnsi="Times New Roman" w:cs="Times New Roman"/>
          <w:sz w:val="24"/>
          <w:szCs w:val="24"/>
        </w:rPr>
        <w:t xml:space="preserve"> reveals that it is not an absolute right. It allowed deduction of guilt from the silence of the accused when there was other strong evidence of commission of an offence, and he had been warned that silence might be used against him</w:t>
      </w:r>
      <w:r w:rsidRPr="00F93325">
        <w:rPr>
          <w:rStyle w:val="DipnotBavurusu"/>
          <w:rFonts w:ascii="Times New Roman" w:hAnsi="Times New Roman" w:cs="Times New Roman"/>
          <w:sz w:val="24"/>
          <w:szCs w:val="24"/>
        </w:rPr>
        <w:t>.</w:t>
      </w:r>
      <w:r w:rsidRPr="00F93325">
        <w:rPr>
          <w:rStyle w:val="DipnotBavurusu"/>
          <w:rFonts w:ascii="Times New Roman" w:hAnsi="Times New Roman" w:cs="Times New Roman"/>
          <w:sz w:val="24"/>
          <w:szCs w:val="24"/>
        </w:rPr>
        <w:footnoteReference w:id="69"/>
      </w:r>
    </w:p>
    <w:p w:rsidR="00703CEE" w:rsidRPr="00F93325" w:rsidRDefault="00703CEE" w:rsidP="00F93325">
      <w:pPr>
        <w:autoSpaceDE w:val="0"/>
        <w:autoSpaceDN w:val="0"/>
        <w:adjustRightInd w:val="0"/>
        <w:jc w:val="both"/>
        <w:rPr>
          <w:rFonts w:ascii="Times New Roman" w:hAnsi="Times New Roman" w:cs="Times New Roman"/>
          <w:sz w:val="24"/>
          <w:szCs w:val="24"/>
        </w:rPr>
      </w:pPr>
      <w:r w:rsidRPr="00F93325">
        <w:rPr>
          <w:rFonts w:ascii="Times New Roman" w:hAnsi="Times New Roman" w:cs="Times New Roman"/>
          <w:sz w:val="24"/>
          <w:szCs w:val="24"/>
        </w:rPr>
        <w:t xml:space="preserve">The </w:t>
      </w:r>
      <w:proofErr w:type="spellStart"/>
      <w:r w:rsidRPr="00F93325">
        <w:rPr>
          <w:rFonts w:ascii="Times New Roman" w:hAnsi="Times New Roman" w:cs="Times New Roman"/>
          <w:sz w:val="24"/>
          <w:szCs w:val="24"/>
        </w:rPr>
        <w:t>ECtHR</w:t>
      </w:r>
      <w:proofErr w:type="spellEnd"/>
      <w:r w:rsidRPr="00F93325">
        <w:rPr>
          <w:rFonts w:ascii="Times New Roman" w:hAnsi="Times New Roman" w:cs="Times New Roman"/>
          <w:sz w:val="24"/>
          <w:szCs w:val="24"/>
        </w:rPr>
        <w:t xml:space="preserve"> gave effect to the right to remain silent and to freedom from self-incrimination in </w:t>
      </w:r>
      <w:r w:rsidRPr="00F93325">
        <w:rPr>
          <w:rFonts w:ascii="Times New Roman" w:hAnsi="Times New Roman" w:cs="Times New Roman"/>
          <w:i/>
          <w:iCs/>
          <w:sz w:val="24"/>
          <w:szCs w:val="24"/>
        </w:rPr>
        <w:t xml:space="preserve">Saunders v United Kingdom: </w:t>
      </w:r>
      <w:r w:rsidRPr="00F93325">
        <w:rPr>
          <w:rFonts w:ascii="Times New Roman" w:hAnsi="Times New Roman" w:cs="Times New Roman"/>
          <w:sz w:val="24"/>
          <w:szCs w:val="24"/>
        </w:rPr>
        <w:t xml:space="preserve">there was no </w:t>
      </w:r>
      <w:proofErr w:type="spellStart"/>
      <w:r w:rsidRPr="00F93325">
        <w:rPr>
          <w:rFonts w:ascii="Times New Roman" w:hAnsi="Times New Roman" w:cs="Times New Roman"/>
          <w:sz w:val="24"/>
          <w:szCs w:val="24"/>
        </w:rPr>
        <w:t>violationof</w:t>
      </w:r>
      <w:proofErr w:type="spellEnd"/>
      <w:r w:rsidRPr="00F93325">
        <w:rPr>
          <w:rFonts w:ascii="Times New Roman" w:hAnsi="Times New Roman" w:cs="Times New Roman"/>
          <w:sz w:val="24"/>
          <w:szCs w:val="24"/>
        </w:rPr>
        <w:t xml:space="preserve"> that right in that failure to provide answer to the questions from </w:t>
      </w:r>
      <w:r w:rsidRPr="00F93325">
        <w:rPr>
          <w:rFonts w:ascii="Times New Roman" w:hAnsi="Times New Roman" w:cs="Times New Roman"/>
          <w:i/>
          <w:iCs/>
          <w:sz w:val="24"/>
          <w:szCs w:val="24"/>
        </w:rPr>
        <w:t>non-judicial</w:t>
      </w:r>
      <w:r w:rsidRPr="00F93325">
        <w:rPr>
          <w:rFonts w:ascii="Times New Roman" w:hAnsi="Times New Roman" w:cs="Times New Roman"/>
          <w:sz w:val="24"/>
          <w:szCs w:val="24"/>
        </w:rPr>
        <w:t xml:space="preserve"> investigators constituted an offence while it amounts to an infringement of that right when a statement taken under these conditions is used in a criminal trial.</w:t>
      </w:r>
      <w:r w:rsidRPr="00F93325">
        <w:rPr>
          <w:rStyle w:val="DipnotBavurusu"/>
          <w:rFonts w:ascii="Times New Roman" w:hAnsi="Times New Roman" w:cs="Times New Roman"/>
          <w:sz w:val="24"/>
          <w:szCs w:val="24"/>
        </w:rPr>
        <w:footnoteReference w:id="70"/>
      </w:r>
      <w:r w:rsidRPr="00F93325">
        <w:rPr>
          <w:rFonts w:ascii="Times New Roman" w:hAnsi="Times New Roman" w:cs="Times New Roman"/>
          <w:sz w:val="24"/>
          <w:szCs w:val="24"/>
        </w:rPr>
        <w:t xml:space="preserve"> However, its judgment in O’Halloran and Francis v United Kingdom was doubtful: it did </w:t>
      </w:r>
      <w:r w:rsidRPr="00F93325">
        <w:rPr>
          <w:rFonts w:ascii="Times New Roman" w:hAnsi="Times New Roman" w:cs="Times New Roman"/>
          <w:sz w:val="24"/>
          <w:szCs w:val="24"/>
        </w:rPr>
        <w:lastRenderedPageBreak/>
        <w:t>not find violation when the owner of a vehicle caught by a roadside speed camera was forced to provide the name of a driver, failure to do so constituting an offence.</w:t>
      </w:r>
      <w:r w:rsidRPr="00F93325">
        <w:rPr>
          <w:rStyle w:val="DipnotBavurusu"/>
          <w:rFonts w:ascii="Times New Roman" w:hAnsi="Times New Roman" w:cs="Times New Roman"/>
          <w:sz w:val="24"/>
          <w:szCs w:val="24"/>
        </w:rPr>
        <w:footnoteReference w:id="71"/>
      </w:r>
      <w:r w:rsidRPr="00F93325">
        <w:rPr>
          <w:rFonts w:ascii="Times New Roman" w:hAnsi="Times New Roman" w:cs="Times New Roman"/>
          <w:sz w:val="24"/>
          <w:szCs w:val="24"/>
        </w:rPr>
        <w:t xml:space="preserve">  The law was known in advance and only limited information was required.</w:t>
      </w:r>
      <w:r w:rsidRPr="00F93325">
        <w:rPr>
          <w:rStyle w:val="DipnotBavurusu"/>
          <w:rFonts w:ascii="Times New Roman" w:hAnsi="Times New Roman" w:cs="Times New Roman"/>
          <w:sz w:val="24"/>
          <w:szCs w:val="24"/>
        </w:rPr>
        <w:footnoteReference w:id="72"/>
      </w:r>
      <w:r w:rsidRPr="00F93325">
        <w:rPr>
          <w:rFonts w:ascii="Times New Roman" w:hAnsi="Times New Roman" w:cs="Times New Roman"/>
          <w:sz w:val="24"/>
          <w:szCs w:val="24"/>
        </w:rPr>
        <w:t xml:space="preserve"> If the former is accepted then governments will be free to enact laws allowing the forceful procurement of self-incriminatory statements when the information which must be given to the authorities is self-incriminatory, thereby breaching the obligation to respect the accused’s right to silence. Acceptance of the latter, given that limited information may be extremely significant, may change the whole case against the accused.</w:t>
      </w:r>
    </w:p>
    <w:p w:rsidR="00703CEE" w:rsidRPr="00F93325" w:rsidRDefault="00703CEE" w:rsidP="00F93325">
      <w:pPr>
        <w:pStyle w:val="AralkYok"/>
        <w:spacing w:after="200"/>
        <w:jc w:val="both"/>
        <w:rPr>
          <w:rFonts w:ascii="Times New Roman" w:hAnsi="Times New Roman" w:cs="Times New Roman"/>
          <w:b/>
          <w:bCs/>
          <w:sz w:val="24"/>
          <w:szCs w:val="24"/>
        </w:rPr>
      </w:pPr>
    </w:p>
    <w:p w:rsidR="00703CEE" w:rsidRPr="00F93325" w:rsidRDefault="00703CEE" w:rsidP="00F93325">
      <w:pPr>
        <w:pStyle w:val="AralkYok"/>
        <w:spacing w:after="200"/>
        <w:jc w:val="both"/>
        <w:rPr>
          <w:rFonts w:ascii="Times New Roman" w:hAnsi="Times New Roman" w:cs="Times New Roman"/>
          <w:b/>
          <w:bCs/>
          <w:sz w:val="24"/>
          <w:szCs w:val="24"/>
        </w:rPr>
      </w:pPr>
      <w:r>
        <w:rPr>
          <w:rFonts w:ascii="Times New Roman" w:hAnsi="Times New Roman" w:cs="Times New Roman"/>
          <w:b/>
          <w:bCs/>
          <w:sz w:val="24"/>
          <w:szCs w:val="24"/>
        </w:rPr>
        <w:t xml:space="preserve">VI - </w:t>
      </w:r>
      <w:r w:rsidRPr="00F93325">
        <w:rPr>
          <w:rFonts w:ascii="Times New Roman" w:hAnsi="Times New Roman" w:cs="Times New Roman"/>
          <w:b/>
          <w:bCs/>
          <w:sz w:val="24"/>
          <w:szCs w:val="24"/>
        </w:rPr>
        <w:t>EQUALITY BEFORE THE COURTS, EFFECTIVE PARTICIPATION OF THE ACCUSED, COMMUNICATION WITH THE COUNSEL</w:t>
      </w:r>
    </w:p>
    <w:p w:rsidR="00703CEE" w:rsidRPr="00F93325" w:rsidRDefault="00703CEE" w:rsidP="00F93325">
      <w:pPr>
        <w:pStyle w:val="AralkYok"/>
        <w:spacing w:after="200"/>
        <w:jc w:val="both"/>
        <w:rPr>
          <w:rFonts w:ascii="Times New Roman" w:hAnsi="Times New Roman" w:cs="Times New Roman"/>
          <w:sz w:val="24"/>
          <w:szCs w:val="24"/>
        </w:rPr>
      </w:pPr>
      <w:r w:rsidRPr="00F93325">
        <w:rPr>
          <w:rFonts w:ascii="Times New Roman" w:hAnsi="Times New Roman" w:cs="Times New Roman"/>
          <w:sz w:val="24"/>
          <w:szCs w:val="24"/>
        </w:rPr>
        <w:t>A fair outcome from a criminal trial inevitably requires high-quality judicial proceedings where the accused: has equal rights with the prosecution and other parties; has the opportunity to have counsel of his own choosing in case justice so requires;  may have a counsel assigned free of charge; may, if necessary, have a free interpreter in all stages of the proceedings</w:t>
      </w:r>
      <w:r w:rsidRPr="00F93325">
        <w:rPr>
          <w:rStyle w:val="DipnotBavurusu"/>
          <w:rFonts w:ascii="Times New Roman" w:hAnsi="Times New Roman" w:cs="Times New Roman"/>
          <w:sz w:val="24"/>
          <w:szCs w:val="24"/>
        </w:rPr>
        <w:footnoteReference w:id="73"/>
      </w:r>
      <w:r w:rsidRPr="00F93325">
        <w:rPr>
          <w:rFonts w:ascii="Times New Roman" w:hAnsi="Times New Roman" w:cs="Times New Roman"/>
          <w:sz w:val="24"/>
          <w:szCs w:val="24"/>
        </w:rPr>
        <w:t>; should be informed promptly of the charges; should have adequate time and facilities to prepare his defence and to make sufficient contribution to the trial by examining witnesses in the same way as the prosecution.</w:t>
      </w:r>
      <w:r w:rsidRPr="00F93325">
        <w:rPr>
          <w:rStyle w:val="DipnotBavurusu"/>
          <w:rFonts w:ascii="Times New Roman" w:hAnsi="Times New Roman" w:cs="Times New Roman"/>
          <w:sz w:val="24"/>
          <w:szCs w:val="24"/>
        </w:rPr>
        <w:footnoteReference w:id="74"/>
      </w:r>
    </w:p>
    <w:p w:rsidR="00703CEE" w:rsidRPr="00F93325" w:rsidRDefault="00703CEE" w:rsidP="00F93325">
      <w:pPr>
        <w:autoSpaceDE w:val="0"/>
        <w:autoSpaceDN w:val="0"/>
        <w:adjustRightInd w:val="0"/>
        <w:spacing w:after="0" w:line="240" w:lineRule="auto"/>
        <w:jc w:val="both"/>
        <w:rPr>
          <w:rFonts w:ascii="Times New Roman" w:hAnsi="Times New Roman" w:cs="Times New Roman"/>
          <w:sz w:val="24"/>
          <w:szCs w:val="24"/>
        </w:rPr>
      </w:pPr>
      <w:r w:rsidRPr="00F93325">
        <w:rPr>
          <w:rFonts w:ascii="Times New Roman" w:hAnsi="Times New Roman" w:cs="Times New Roman"/>
          <w:sz w:val="24"/>
          <w:szCs w:val="24"/>
        </w:rPr>
        <w:t>Right to be present may be waived by the accused or will not be the case where a serious attempt has been made by the court to summon that accused</w:t>
      </w:r>
      <w:r w:rsidRPr="00F93325">
        <w:rPr>
          <w:rStyle w:val="DipnotBavurusu"/>
          <w:rFonts w:ascii="Times New Roman" w:hAnsi="Times New Roman" w:cs="Times New Roman"/>
          <w:sz w:val="24"/>
          <w:szCs w:val="24"/>
        </w:rPr>
        <w:footnoteReference w:id="75"/>
      </w:r>
      <w:r w:rsidRPr="00F93325">
        <w:rPr>
          <w:rFonts w:ascii="Times New Roman" w:hAnsi="Times New Roman" w:cs="Times New Roman"/>
          <w:sz w:val="24"/>
          <w:szCs w:val="24"/>
        </w:rPr>
        <w:t>. Where free counsel is requested the accused’s right to choose his own counsel is restricted although in most serious cases his preference should be given greater weight.</w:t>
      </w:r>
      <w:r w:rsidRPr="00F93325">
        <w:rPr>
          <w:rStyle w:val="DipnotBavurusu"/>
          <w:rFonts w:ascii="Times New Roman" w:hAnsi="Times New Roman" w:cs="Times New Roman"/>
          <w:sz w:val="24"/>
          <w:szCs w:val="24"/>
        </w:rPr>
        <w:footnoteReference w:id="76"/>
      </w:r>
      <w:r w:rsidRPr="00F93325">
        <w:rPr>
          <w:rFonts w:ascii="Times New Roman" w:hAnsi="Times New Roman" w:cs="Times New Roman"/>
          <w:sz w:val="24"/>
          <w:szCs w:val="24"/>
        </w:rPr>
        <w:t xml:space="preserve"> However, once appointed, effective representation is required.</w:t>
      </w:r>
      <w:r w:rsidRPr="00F93325">
        <w:rPr>
          <w:rStyle w:val="DipnotBavurusu"/>
          <w:rFonts w:ascii="Times New Roman" w:hAnsi="Times New Roman" w:cs="Times New Roman"/>
          <w:sz w:val="24"/>
          <w:szCs w:val="24"/>
        </w:rPr>
        <w:footnoteReference w:id="77"/>
      </w:r>
      <w:r w:rsidRPr="00F93325">
        <w:rPr>
          <w:rFonts w:ascii="Times New Roman" w:hAnsi="Times New Roman" w:cs="Times New Roman"/>
          <w:sz w:val="24"/>
          <w:szCs w:val="24"/>
        </w:rPr>
        <w:t xml:space="preserve"> Therefore, the Committee found violation where the counsel withdrew the appeal without informing the accused in advance.</w:t>
      </w:r>
      <w:r w:rsidRPr="00F93325">
        <w:rPr>
          <w:rStyle w:val="DipnotBavurusu"/>
          <w:rFonts w:ascii="Times New Roman" w:hAnsi="Times New Roman" w:cs="Times New Roman"/>
          <w:sz w:val="24"/>
          <w:szCs w:val="24"/>
        </w:rPr>
        <w:footnoteReference w:id="78"/>
      </w:r>
      <w:r w:rsidRPr="00F93325">
        <w:rPr>
          <w:rFonts w:ascii="Times New Roman" w:hAnsi="Times New Roman" w:cs="Times New Roman"/>
          <w:sz w:val="24"/>
          <w:szCs w:val="24"/>
        </w:rPr>
        <w:t xml:space="preserve"> The finding of the </w:t>
      </w:r>
      <w:proofErr w:type="spellStart"/>
      <w:r w:rsidRPr="00F93325">
        <w:rPr>
          <w:rFonts w:ascii="Times New Roman" w:hAnsi="Times New Roman" w:cs="Times New Roman"/>
          <w:sz w:val="24"/>
          <w:szCs w:val="24"/>
        </w:rPr>
        <w:t>ECtHR</w:t>
      </w:r>
      <w:proofErr w:type="spellEnd"/>
      <w:r w:rsidRPr="00F93325">
        <w:rPr>
          <w:rFonts w:ascii="Times New Roman" w:hAnsi="Times New Roman" w:cs="Times New Roman"/>
          <w:sz w:val="24"/>
          <w:szCs w:val="24"/>
        </w:rPr>
        <w:t xml:space="preserve"> in </w:t>
      </w:r>
      <w:proofErr w:type="spellStart"/>
      <w:r w:rsidRPr="00F93325">
        <w:rPr>
          <w:rFonts w:ascii="Times New Roman" w:hAnsi="Times New Roman" w:cs="Times New Roman"/>
          <w:i/>
          <w:iCs/>
          <w:sz w:val="24"/>
          <w:szCs w:val="24"/>
        </w:rPr>
        <w:t>Tripodi</w:t>
      </w:r>
      <w:proofErr w:type="spellEnd"/>
      <w:r w:rsidRPr="00F93325">
        <w:rPr>
          <w:rFonts w:ascii="Times New Roman" w:hAnsi="Times New Roman" w:cs="Times New Roman"/>
          <w:i/>
          <w:iCs/>
          <w:sz w:val="24"/>
          <w:szCs w:val="24"/>
        </w:rPr>
        <w:t xml:space="preserve"> v Italy</w:t>
      </w:r>
      <w:r w:rsidRPr="00F93325">
        <w:rPr>
          <w:rFonts w:ascii="Times New Roman" w:hAnsi="Times New Roman" w:cs="Times New Roman"/>
          <w:sz w:val="24"/>
          <w:szCs w:val="24"/>
        </w:rPr>
        <w:t xml:space="preserve"> was contradictory, however: no violation was found where the lawyer of the accused, who did little for his </w:t>
      </w:r>
      <w:proofErr w:type="gramStart"/>
      <w:r w:rsidRPr="00F93325">
        <w:rPr>
          <w:rFonts w:ascii="Times New Roman" w:hAnsi="Times New Roman" w:cs="Times New Roman"/>
          <w:sz w:val="24"/>
          <w:szCs w:val="24"/>
        </w:rPr>
        <w:t>replacement</w:t>
      </w:r>
      <w:proofErr w:type="gramEnd"/>
      <w:r w:rsidRPr="00F93325">
        <w:rPr>
          <w:rFonts w:ascii="Times New Roman" w:hAnsi="Times New Roman" w:cs="Times New Roman"/>
          <w:sz w:val="24"/>
          <w:szCs w:val="24"/>
        </w:rPr>
        <w:t xml:space="preserve"> was unable to attend the hearing in the Court of Cassation</w:t>
      </w:r>
      <w:r w:rsidRPr="00F93325">
        <w:rPr>
          <w:rStyle w:val="DipnotBavurusu"/>
          <w:rFonts w:ascii="Times New Roman" w:hAnsi="Times New Roman" w:cs="Times New Roman"/>
          <w:sz w:val="24"/>
          <w:szCs w:val="24"/>
        </w:rPr>
        <w:footnoteReference w:id="79"/>
      </w:r>
      <w:r w:rsidRPr="00F93325">
        <w:rPr>
          <w:rFonts w:ascii="Times New Roman" w:hAnsi="Times New Roman" w:cs="Times New Roman"/>
          <w:sz w:val="24"/>
          <w:szCs w:val="24"/>
        </w:rPr>
        <w:t xml:space="preserve">. </w:t>
      </w:r>
      <w:r w:rsidRPr="00F93325">
        <w:rPr>
          <w:rFonts w:ascii="Times New Roman" w:hAnsi="Times New Roman" w:cs="Times New Roman"/>
          <w:i/>
          <w:iCs/>
          <w:sz w:val="24"/>
          <w:szCs w:val="24"/>
        </w:rPr>
        <w:t>White</w:t>
      </w:r>
      <w:r w:rsidRPr="00F93325">
        <w:rPr>
          <w:rFonts w:ascii="Times New Roman" w:hAnsi="Times New Roman" w:cs="Times New Roman"/>
          <w:sz w:val="24"/>
          <w:szCs w:val="24"/>
        </w:rPr>
        <w:t>’s reading of that judgment is that only omissions concerning legal representations which are caused by state authorities, can lead to a violation.</w:t>
      </w:r>
      <w:r w:rsidRPr="00F93325">
        <w:rPr>
          <w:rStyle w:val="DipnotBavurusu"/>
          <w:rFonts w:ascii="Times New Roman" w:hAnsi="Times New Roman" w:cs="Times New Roman"/>
          <w:sz w:val="24"/>
          <w:szCs w:val="24"/>
        </w:rPr>
        <w:footnoteReference w:id="80"/>
      </w:r>
    </w:p>
    <w:p w:rsidR="00703CEE" w:rsidRDefault="00703CEE" w:rsidP="00F93325">
      <w:pPr>
        <w:autoSpaceDE w:val="0"/>
        <w:autoSpaceDN w:val="0"/>
        <w:adjustRightInd w:val="0"/>
        <w:spacing w:line="240" w:lineRule="auto"/>
        <w:jc w:val="both"/>
        <w:rPr>
          <w:rFonts w:ascii="Times New Roman" w:hAnsi="Times New Roman" w:cs="Times New Roman"/>
          <w:sz w:val="24"/>
          <w:szCs w:val="24"/>
        </w:rPr>
      </w:pP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lastRenderedPageBreak/>
        <w:t>An unbiased atmosphere where a hostile attitude or support for any party is not tolerated should be achieved in the trial room.</w:t>
      </w:r>
      <w:r w:rsidRPr="00F93325">
        <w:rPr>
          <w:rStyle w:val="DipnotBavurusu"/>
          <w:rFonts w:ascii="Times New Roman" w:hAnsi="Times New Roman" w:cs="Times New Roman"/>
          <w:sz w:val="24"/>
          <w:szCs w:val="24"/>
        </w:rPr>
        <w:footnoteReference w:id="81"/>
      </w:r>
      <w:r w:rsidRPr="00F93325">
        <w:rPr>
          <w:rFonts w:ascii="Times New Roman" w:hAnsi="Times New Roman" w:cs="Times New Roman"/>
          <w:sz w:val="24"/>
          <w:szCs w:val="24"/>
        </w:rPr>
        <w:t xml:space="preserve"> Direct contact of the court with the accused is required. The HRC found violation of Article 14(1) where trial judges covered their faces for security reasons during the trial of a terror suspect</w:t>
      </w:r>
      <w:r w:rsidRPr="00F93325">
        <w:rPr>
          <w:rStyle w:val="DipnotBavurusu"/>
          <w:rFonts w:ascii="Times New Roman" w:hAnsi="Times New Roman" w:cs="Times New Roman"/>
          <w:sz w:val="24"/>
          <w:szCs w:val="24"/>
        </w:rPr>
        <w:footnoteReference w:id="82"/>
      </w:r>
      <w:r w:rsidRPr="00F93325">
        <w:rPr>
          <w:rFonts w:ascii="Times New Roman" w:hAnsi="Times New Roman" w:cs="Times New Roman"/>
          <w:sz w:val="24"/>
          <w:szCs w:val="24"/>
        </w:rPr>
        <w:t xml:space="preserve">. Having equal rights with the other parties is significant in effective participation of the accused and in challenging their arguments. </w:t>
      </w:r>
      <w:r w:rsidRPr="00F93325">
        <w:rPr>
          <w:rFonts w:ascii="Times New Roman" w:hAnsi="Times New Roman" w:cs="Times New Roman"/>
          <w:i/>
          <w:iCs/>
          <w:sz w:val="24"/>
          <w:szCs w:val="24"/>
        </w:rPr>
        <w:t>Weiss v Austria</w:t>
      </w:r>
      <w:r w:rsidRPr="00F93325">
        <w:rPr>
          <w:rFonts w:ascii="Times New Roman" w:hAnsi="Times New Roman" w:cs="Times New Roman"/>
          <w:sz w:val="24"/>
          <w:szCs w:val="24"/>
        </w:rPr>
        <w:t xml:space="preserve"> case is illustrative: the HRC found violation when an appeal right was provided to the prosecution but not to the accused on the grounds that the accused was fugitive</w:t>
      </w:r>
      <w:r w:rsidRPr="00F93325">
        <w:rPr>
          <w:rStyle w:val="DipnotBavurusu"/>
          <w:rFonts w:ascii="Times New Roman" w:hAnsi="Times New Roman" w:cs="Times New Roman"/>
          <w:sz w:val="24"/>
          <w:szCs w:val="24"/>
        </w:rPr>
        <w:footnoteReference w:id="83"/>
      </w:r>
      <w:r w:rsidRPr="00F93325">
        <w:rPr>
          <w:rFonts w:ascii="Times New Roman" w:hAnsi="Times New Roman" w:cs="Times New Roman"/>
          <w:sz w:val="24"/>
          <w:szCs w:val="24"/>
        </w:rPr>
        <w:t>.</w:t>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The conviction may not require repayment of interpreter’s expenses by the accused</w:t>
      </w:r>
      <w:r w:rsidRPr="00F93325">
        <w:rPr>
          <w:rStyle w:val="DipnotBavurusu"/>
          <w:rFonts w:ascii="Times New Roman" w:hAnsi="Times New Roman" w:cs="Times New Roman"/>
          <w:sz w:val="24"/>
          <w:szCs w:val="24"/>
        </w:rPr>
        <w:footnoteReference w:id="84"/>
      </w:r>
      <w:r w:rsidRPr="00F93325">
        <w:rPr>
          <w:rFonts w:ascii="Times New Roman" w:hAnsi="Times New Roman" w:cs="Times New Roman"/>
          <w:sz w:val="24"/>
          <w:szCs w:val="24"/>
        </w:rPr>
        <w:t>. The court is not obliged to provide an interpreter where the accused can adequately speak the language of the court</w:t>
      </w:r>
      <w:r w:rsidRPr="00F93325">
        <w:rPr>
          <w:rStyle w:val="DipnotBavurusu"/>
          <w:rFonts w:ascii="Times New Roman" w:hAnsi="Times New Roman" w:cs="Times New Roman"/>
          <w:sz w:val="24"/>
          <w:szCs w:val="24"/>
        </w:rPr>
        <w:footnoteReference w:id="85"/>
      </w:r>
      <w:r w:rsidRPr="00F93325">
        <w:rPr>
          <w:rFonts w:ascii="Times New Roman" w:hAnsi="Times New Roman" w:cs="Times New Roman"/>
          <w:sz w:val="24"/>
          <w:szCs w:val="24"/>
        </w:rPr>
        <w:t>.</w:t>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The obligation for prompt notification about charges starts as soon as the accused is formally charged or is publicly named as charged and can be met orally or in writing</w:t>
      </w:r>
      <w:r w:rsidRPr="00F93325">
        <w:rPr>
          <w:rStyle w:val="DipnotBavurusu"/>
          <w:rFonts w:ascii="Times New Roman" w:hAnsi="Times New Roman" w:cs="Times New Roman"/>
          <w:sz w:val="24"/>
          <w:szCs w:val="24"/>
        </w:rPr>
        <w:footnoteReference w:id="86"/>
      </w:r>
      <w:r w:rsidRPr="00F93325">
        <w:rPr>
          <w:rFonts w:ascii="Times New Roman" w:hAnsi="Times New Roman" w:cs="Times New Roman"/>
          <w:sz w:val="24"/>
          <w:szCs w:val="24"/>
        </w:rPr>
        <w:t>. All efforts should be exerted to inform even an absent accused of the charges.</w:t>
      </w:r>
      <w:r w:rsidRPr="00F93325">
        <w:rPr>
          <w:rStyle w:val="DipnotBavurusu"/>
          <w:rFonts w:ascii="Times New Roman" w:hAnsi="Times New Roman" w:cs="Times New Roman"/>
          <w:sz w:val="24"/>
          <w:szCs w:val="24"/>
        </w:rPr>
        <w:footnoteReference w:id="87"/>
      </w:r>
      <w:r w:rsidRPr="00F93325">
        <w:rPr>
          <w:rFonts w:ascii="Times New Roman" w:hAnsi="Times New Roman" w:cs="Times New Roman"/>
          <w:sz w:val="24"/>
          <w:szCs w:val="24"/>
        </w:rPr>
        <w:t xml:space="preserve"> Adequate time and facilities require defence access to all relevant documents. Where defence counsel is familiar with the language used in such materials translation of the materials into the language of the accused is not required.</w:t>
      </w:r>
      <w:r w:rsidRPr="00F93325">
        <w:rPr>
          <w:rStyle w:val="DipnotBavurusu"/>
          <w:rFonts w:ascii="Times New Roman" w:hAnsi="Times New Roman" w:cs="Times New Roman"/>
          <w:sz w:val="24"/>
          <w:szCs w:val="24"/>
        </w:rPr>
        <w:footnoteReference w:id="88"/>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The determination of adequate time depends on the volume and complexity of a case. A reasonable defence request for adjournment to prepare the defence must be met where the criminal offence is serious.</w:t>
      </w:r>
      <w:r w:rsidRPr="00F93325">
        <w:rPr>
          <w:rStyle w:val="DipnotBavurusu"/>
          <w:rFonts w:ascii="Times New Roman" w:hAnsi="Times New Roman" w:cs="Times New Roman"/>
          <w:sz w:val="24"/>
          <w:szCs w:val="24"/>
        </w:rPr>
        <w:footnoteReference w:id="89"/>
      </w:r>
    </w:p>
    <w:p w:rsidR="00703CEE" w:rsidRPr="00F93325" w:rsidRDefault="00703CEE" w:rsidP="00F93325">
      <w:pPr>
        <w:jc w:val="both"/>
        <w:rPr>
          <w:rFonts w:ascii="Times New Roman" w:hAnsi="Times New Roman" w:cs="Times New Roman"/>
          <w:b/>
          <w:bCs/>
          <w:sz w:val="24"/>
          <w:szCs w:val="24"/>
        </w:rPr>
      </w:pPr>
      <w:r>
        <w:rPr>
          <w:rFonts w:ascii="Times New Roman" w:hAnsi="Times New Roman" w:cs="Times New Roman"/>
          <w:b/>
          <w:bCs/>
          <w:sz w:val="24"/>
          <w:szCs w:val="24"/>
        </w:rPr>
        <w:t xml:space="preserve">VII - </w:t>
      </w:r>
      <w:r w:rsidRPr="00F93325">
        <w:rPr>
          <w:rFonts w:ascii="Times New Roman" w:hAnsi="Times New Roman" w:cs="Times New Roman"/>
          <w:b/>
          <w:bCs/>
          <w:sz w:val="24"/>
          <w:szCs w:val="24"/>
        </w:rPr>
        <w:t>A REASONED JUDGMENT WITHOUT DELAY AND THE RIGHT TO REVIEW BY A HIGHER TRIBUNAL</w:t>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The accused has a right to a judgment without delay and to review of that judgment by a higher tribunal.</w:t>
      </w:r>
      <w:r w:rsidRPr="00F93325">
        <w:rPr>
          <w:rStyle w:val="DipnotBavurusu"/>
          <w:rFonts w:ascii="Times New Roman" w:hAnsi="Times New Roman" w:cs="Times New Roman"/>
          <w:sz w:val="24"/>
          <w:szCs w:val="24"/>
        </w:rPr>
        <w:footnoteReference w:id="90"/>
      </w:r>
      <w:r w:rsidRPr="00F93325">
        <w:rPr>
          <w:rFonts w:ascii="Times New Roman" w:hAnsi="Times New Roman" w:cs="Times New Roman"/>
          <w:sz w:val="24"/>
          <w:szCs w:val="24"/>
        </w:rPr>
        <w:t xml:space="preserve"> Facing a criminal trial for a long time is considerably stressful, preventing </w:t>
      </w:r>
      <w:r w:rsidRPr="00F93325">
        <w:rPr>
          <w:rFonts w:ascii="Times New Roman" w:hAnsi="Times New Roman" w:cs="Times New Roman"/>
          <w:sz w:val="24"/>
          <w:szCs w:val="24"/>
          <w:shd w:val="clear" w:color="auto" w:fill="FFFFFF"/>
        </w:rPr>
        <w:t>the </w:t>
      </w:r>
      <w:r w:rsidRPr="00F93325">
        <w:rPr>
          <w:rFonts w:ascii="Times New Roman" w:hAnsi="Times New Roman" w:cs="Times New Roman"/>
          <w:sz w:val="24"/>
          <w:szCs w:val="24"/>
        </w:rPr>
        <w:t xml:space="preserve">individual from focusing on more fruitful activities and reducing his or her quality of life. </w:t>
      </w:r>
      <w:r w:rsidRPr="00F93325">
        <w:rPr>
          <w:rFonts w:ascii="Times New Roman" w:hAnsi="Times New Roman" w:cs="Times New Roman"/>
          <w:sz w:val="24"/>
          <w:szCs w:val="24"/>
          <w:shd w:val="clear" w:color="auto" w:fill="FFFFFF"/>
        </w:rPr>
        <w:t>Delayed j</w:t>
      </w:r>
      <w:r w:rsidRPr="00F93325">
        <w:rPr>
          <w:rFonts w:ascii="Times New Roman" w:hAnsi="Times New Roman" w:cs="Times New Roman"/>
          <w:sz w:val="24"/>
          <w:szCs w:val="24"/>
        </w:rPr>
        <w:t>ustice can sometimes become injustice, for example, when a successful businessman loses a considerable confidence owing to a particular trial. This right also serves the interests of justice.</w:t>
      </w:r>
      <w:r w:rsidRPr="00F93325">
        <w:rPr>
          <w:rStyle w:val="DipnotBavurusu"/>
          <w:rFonts w:ascii="Times New Roman" w:hAnsi="Times New Roman" w:cs="Times New Roman"/>
          <w:sz w:val="24"/>
          <w:szCs w:val="24"/>
        </w:rPr>
        <w:footnoteReference w:id="91"/>
      </w:r>
      <w:r w:rsidRPr="00F93325">
        <w:rPr>
          <w:rFonts w:ascii="Times New Roman" w:hAnsi="Times New Roman" w:cs="Times New Roman"/>
          <w:sz w:val="24"/>
          <w:szCs w:val="24"/>
        </w:rPr>
        <w:t>Reasonable time requires the consideration of the following: 1-‘the complexity of the case’</w:t>
      </w:r>
      <w:proofErr w:type="gramStart"/>
      <w:r w:rsidRPr="00F93325">
        <w:rPr>
          <w:rFonts w:ascii="Times New Roman" w:hAnsi="Times New Roman" w:cs="Times New Roman"/>
          <w:sz w:val="24"/>
          <w:szCs w:val="24"/>
        </w:rPr>
        <w:t>,2</w:t>
      </w:r>
      <w:proofErr w:type="gramEnd"/>
      <w:r w:rsidRPr="00F93325">
        <w:rPr>
          <w:rFonts w:ascii="Times New Roman" w:hAnsi="Times New Roman" w:cs="Times New Roman"/>
          <w:sz w:val="24"/>
          <w:szCs w:val="24"/>
        </w:rPr>
        <w:t>-‘the conduct of the accused’, 3- the way in which the issue was dealt with by administrative and judicial authorities.</w:t>
      </w:r>
      <w:r w:rsidRPr="00F93325">
        <w:rPr>
          <w:rStyle w:val="DipnotBavurusu"/>
          <w:rFonts w:ascii="Times New Roman" w:hAnsi="Times New Roman" w:cs="Times New Roman"/>
          <w:sz w:val="24"/>
          <w:szCs w:val="24"/>
        </w:rPr>
        <w:footnoteReference w:id="92"/>
      </w:r>
      <w:r w:rsidRPr="00F93325">
        <w:rPr>
          <w:rFonts w:ascii="Times New Roman" w:hAnsi="Times New Roman" w:cs="Times New Roman"/>
          <w:sz w:val="24"/>
          <w:szCs w:val="24"/>
        </w:rPr>
        <w:t xml:space="preserve"> This guarantee is required both in the first instance, </w:t>
      </w:r>
      <w:r w:rsidRPr="00F93325">
        <w:rPr>
          <w:rFonts w:ascii="Times New Roman" w:hAnsi="Times New Roman" w:cs="Times New Roman"/>
          <w:sz w:val="24"/>
          <w:szCs w:val="24"/>
        </w:rPr>
        <w:lastRenderedPageBreak/>
        <w:t>starting from the formal charge, and in the appeal stage. It is also required where the accused is detained pending trial, when the length of the trial should be less than an ordinary trial.</w:t>
      </w:r>
      <w:r w:rsidRPr="00F93325">
        <w:rPr>
          <w:rStyle w:val="DipnotBavurusu"/>
          <w:rFonts w:ascii="Times New Roman" w:hAnsi="Times New Roman" w:cs="Times New Roman"/>
          <w:sz w:val="24"/>
          <w:szCs w:val="24"/>
        </w:rPr>
        <w:footnoteReference w:id="93"/>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A reasoned judgment is not an express requirement of the ICCPR. However, the right to effectively challenge the first instance court’s judgment and to adequate defence intrinsically requires for the accused to know reasons of judgment. Therefore, treaty bodies found violations when appeal court decisions did not have sufficient reasons.</w:t>
      </w:r>
      <w:r w:rsidRPr="00F93325">
        <w:rPr>
          <w:rStyle w:val="DipnotBavurusu"/>
          <w:rFonts w:ascii="Times New Roman" w:hAnsi="Times New Roman" w:cs="Times New Roman"/>
          <w:sz w:val="24"/>
          <w:szCs w:val="24"/>
        </w:rPr>
        <w:footnoteReference w:id="94"/>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The HRC held that this requirement also includes preparing the reasoned judgment within a reasonable period of time.</w:t>
      </w:r>
      <w:r w:rsidRPr="00F93325">
        <w:rPr>
          <w:rStyle w:val="DipnotBavurusu"/>
          <w:rFonts w:ascii="Times New Roman" w:hAnsi="Times New Roman" w:cs="Times New Roman"/>
          <w:sz w:val="24"/>
          <w:szCs w:val="24"/>
        </w:rPr>
        <w:footnoteReference w:id="95"/>
      </w:r>
      <w:r w:rsidRPr="00F93325">
        <w:rPr>
          <w:rFonts w:ascii="Times New Roman" w:hAnsi="Times New Roman" w:cs="Times New Roman"/>
          <w:sz w:val="24"/>
          <w:szCs w:val="24"/>
        </w:rPr>
        <w:t xml:space="preserve"> Given that an appeal request is allowed only within a limited period of time, if the reasoned judgment is not made within that period then the accused will not have the opportunity to challenge its arguments. Therefore, if there is a delay in the accused receiving the reasoned judgement, so that it arrives outside the period defined for receipt of the appeal petition, an opportunity should be provided for the accused to make a further reasoned appeal petition.</w:t>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Principles concerning the review by a higher tribunal are put forward by the HRC as follows: 1-the review, including also facts of the case, by a higher court or courts and its conditions must be provided by the law, which is not restricted to most serious crimes, 2-Article 14(5) is violated where the decision of the court of first instance or even the highest court acting as court of first instance is final or a conviction that is final is made for the first time by the higher court upon an appeal against the decision of acquittal.</w:t>
      </w:r>
      <w:r w:rsidRPr="00F93325">
        <w:rPr>
          <w:rStyle w:val="DipnotBavurusu"/>
          <w:rFonts w:ascii="Times New Roman" w:hAnsi="Times New Roman" w:cs="Times New Roman"/>
          <w:sz w:val="24"/>
          <w:szCs w:val="24"/>
        </w:rPr>
        <w:footnoteReference w:id="96"/>
      </w:r>
    </w:p>
    <w:p w:rsidR="00703CEE" w:rsidRPr="00F93325" w:rsidRDefault="00703CEE" w:rsidP="00F93325">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VIII - </w:t>
      </w:r>
      <w:r w:rsidRPr="00F93325">
        <w:rPr>
          <w:rFonts w:ascii="Times New Roman" w:hAnsi="Times New Roman" w:cs="Times New Roman"/>
          <w:b/>
          <w:bCs/>
          <w:sz w:val="24"/>
          <w:szCs w:val="24"/>
        </w:rPr>
        <w:t>DOUBLE JEOPARDY</w:t>
      </w:r>
    </w:p>
    <w:p w:rsidR="00703CEE" w:rsidRPr="00F93325" w:rsidRDefault="00703CEE" w:rsidP="00F93325">
      <w:pPr>
        <w:pStyle w:val="NormalWeb"/>
        <w:spacing w:before="0" w:beforeAutospacing="0" w:after="200" w:afterAutospacing="0"/>
        <w:jc w:val="both"/>
      </w:pPr>
      <w:r w:rsidRPr="00F93325">
        <w:t xml:space="preserve">Article 14(7) of the ICCPR prohibits a re-trial or punishment of a person who has previously been convicted or acquitted finally for the same criminal offence in accordance with the law and penal procedure of each country. </w:t>
      </w:r>
      <w:r w:rsidRPr="00F93325">
        <w:rPr>
          <w:i/>
          <w:iCs/>
        </w:rPr>
        <w:t>Shah</w:t>
      </w:r>
      <w:r w:rsidRPr="00F93325">
        <w:t xml:space="preserve"> highlights that a case can be re-opened if substantial facts and evidence that has been discovered subsequent to the final decision serves the interests of justice</w:t>
      </w:r>
      <w:r w:rsidRPr="00F93325">
        <w:rPr>
          <w:rStyle w:val="DipnotBavurusu"/>
        </w:rPr>
        <w:footnoteReference w:id="97"/>
      </w:r>
      <w:r w:rsidRPr="00F93325">
        <w:t xml:space="preserve">. The principle is not applicable in case of different jurisdiction. Thus, The HRC found no violation when the author of the communication was convicted by both Swiss and Italian Courts. In order to prevent any unfairness that may be caused by that exception states should, by law, envisage the reduction of sentence or fine that has been previously served or paid by the convicted. </w:t>
      </w:r>
    </w:p>
    <w:p w:rsidR="00703CEE" w:rsidRPr="00F93325" w:rsidRDefault="00703CEE" w:rsidP="00F93325">
      <w:pPr>
        <w:pStyle w:val="NormalWeb"/>
        <w:spacing w:before="0" w:beforeAutospacing="0" w:after="200" w:afterAutospacing="0"/>
        <w:jc w:val="both"/>
        <w:rPr>
          <w:b/>
          <w:bCs/>
        </w:rPr>
      </w:pPr>
      <w:r>
        <w:rPr>
          <w:b/>
          <w:bCs/>
        </w:rPr>
        <w:t xml:space="preserve">IX - </w:t>
      </w:r>
      <w:r w:rsidRPr="00F93325">
        <w:rPr>
          <w:b/>
          <w:bCs/>
        </w:rPr>
        <w:t>PREDICTABILITY OF LAW</w:t>
      </w:r>
    </w:p>
    <w:p w:rsidR="00703CEE" w:rsidRPr="000272EF" w:rsidRDefault="00703CEE" w:rsidP="000272EF">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 xml:space="preserve">Article 11(2) of the UDHR and Article 15 of the ICCPR prohibits the retroactive application of criminal laws and aggravation of penalty by such laws. The only exception provided by Article 15(2) are acts that constitute criminal offence according to the general principles of law recognized by the community of nations. These include war crimes, crimes against humanity, </w:t>
      </w:r>
      <w:r w:rsidRPr="00F93325">
        <w:rPr>
          <w:rFonts w:ascii="Times New Roman" w:hAnsi="Times New Roman" w:cs="Times New Roman"/>
          <w:sz w:val="24"/>
          <w:szCs w:val="24"/>
        </w:rPr>
        <w:lastRenderedPageBreak/>
        <w:t>torture, and slavery.</w:t>
      </w:r>
      <w:r w:rsidRPr="00F93325">
        <w:rPr>
          <w:rStyle w:val="DipnotBavurusu"/>
          <w:rFonts w:ascii="Times New Roman" w:hAnsi="Times New Roman" w:cs="Times New Roman"/>
          <w:sz w:val="24"/>
          <w:szCs w:val="24"/>
        </w:rPr>
        <w:footnoteReference w:id="98"/>
      </w:r>
      <w:r w:rsidRPr="00F93325">
        <w:rPr>
          <w:rFonts w:ascii="Times New Roman" w:hAnsi="Times New Roman" w:cs="Times New Roman"/>
          <w:sz w:val="24"/>
          <w:szCs w:val="24"/>
        </w:rPr>
        <w:t xml:space="preserve"> Article 15(1) also requires that if subsequent law provides lighter penalty it is the new law that will be imposed. It is thought that precise definition of crimes is a part of that requirement absence of which leads to a violation.</w:t>
      </w:r>
      <w:r w:rsidRPr="00F93325">
        <w:rPr>
          <w:rStyle w:val="DipnotBavurusu"/>
          <w:rFonts w:ascii="Times New Roman" w:hAnsi="Times New Roman" w:cs="Times New Roman"/>
          <w:sz w:val="24"/>
          <w:szCs w:val="24"/>
        </w:rPr>
        <w:footnoteReference w:id="99"/>
      </w:r>
      <w:r w:rsidRPr="000272EF">
        <w:rPr>
          <w:rFonts w:ascii="Times New Roman" w:hAnsi="Times New Roman" w:cs="Times New Roman"/>
          <w:sz w:val="24"/>
          <w:szCs w:val="24"/>
        </w:rPr>
        <w:t>This right is non-</w:t>
      </w:r>
      <w:proofErr w:type="spellStart"/>
      <w:r w:rsidRPr="000272EF">
        <w:rPr>
          <w:rFonts w:ascii="Times New Roman" w:hAnsi="Times New Roman" w:cs="Times New Roman"/>
          <w:sz w:val="24"/>
          <w:szCs w:val="24"/>
        </w:rPr>
        <w:t>derogable</w:t>
      </w:r>
      <w:proofErr w:type="spellEnd"/>
      <w:r w:rsidRPr="000272EF">
        <w:rPr>
          <w:rFonts w:ascii="Times New Roman" w:hAnsi="Times New Roman" w:cs="Times New Roman"/>
          <w:sz w:val="24"/>
          <w:szCs w:val="24"/>
        </w:rPr>
        <w:t xml:space="preserve"> even in emergencies.</w:t>
      </w:r>
      <w:r w:rsidRPr="000272EF">
        <w:rPr>
          <w:rStyle w:val="DipnotBavurusu"/>
          <w:rFonts w:ascii="Times New Roman" w:hAnsi="Times New Roman" w:cs="Times New Roman"/>
          <w:sz w:val="24"/>
          <w:szCs w:val="24"/>
        </w:rPr>
        <w:footnoteReference w:id="100"/>
      </w:r>
    </w:p>
    <w:p w:rsidR="00703CEE" w:rsidRPr="00F93325" w:rsidRDefault="00703CEE" w:rsidP="00F93325">
      <w:pPr>
        <w:pStyle w:val="NormalWeb"/>
        <w:spacing w:before="0" w:beforeAutospacing="0" w:after="200" w:afterAutospacing="0"/>
        <w:jc w:val="both"/>
        <w:rPr>
          <w:b/>
          <w:bCs/>
        </w:rPr>
      </w:pPr>
      <w:r>
        <w:rPr>
          <w:b/>
          <w:bCs/>
        </w:rPr>
        <w:t xml:space="preserve">X- </w:t>
      </w:r>
      <w:r w:rsidRPr="00F93325">
        <w:rPr>
          <w:b/>
          <w:bCs/>
        </w:rPr>
        <w:t>REQUIREMENT OF SPECIAL DILIGENCE CONCERNING JUVENILE PERSONS</w:t>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color w:val="000000"/>
          <w:sz w:val="24"/>
          <w:szCs w:val="24"/>
        </w:rPr>
        <w:t>Article 14(4) of ICCPR requires that cases involving juveniles take into consideration age, insufficient life experience, home environment, and other elements over which they have no control and that may have lead them to commit the crime. Alternatives to prosecution such as mediation, educational programmes, and interviews with the juvenile's family are desirable.</w:t>
      </w:r>
      <w:r w:rsidRPr="00F93325">
        <w:rPr>
          <w:rStyle w:val="DipnotBavurusu"/>
          <w:rFonts w:ascii="Times New Roman" w:hAnsi="Times New Roman" w:cs="Times New Roman"/>
          <w:sz w:val="24"/>
          <w:szCs w:val="24"/>
        </w:rPr>
        <w:footnoteReference w:id="101"/>
      </w:r>
      <w:r w:rsidRPr="00F93325">
        <w:rPr>
          <w:rFonts w:ascii="Times New Roman" w:hAnsi="Times New Roman" w:cs="Times New Roman"/>
          <w:sz w:val="24"/>
          <w:szCs w:val="24"/>
        </w:rPr>
        <w:t xml:space="preserve"> If their interests require legal guardians or parents should be included in court proceedings, which should be faster and include a counsel.</w:t>
      </w:r>
      <w:r w:rsidRPr="00F93325">
        <w:rPr>
          <w:rStyle w:val="DipnotBavurusu"/>
          <w:rFonts w:ascii="Times New Roman" w:hAnsi="Times New Roman" w:cs="Times New Roman"/>
          <w:sz w:val="24"/>
          <w:szCs w:val="24"/>
        </w:rPr>
        <w:footnoteReference w:id="102"/>
      </w:r>
      <w:r w:rsidRPr="00F93325">
        <w:rPr>
          <w:rFonts w:ascii="Times New Roman" w:hAnsi="Times New Roman" w:cs="Times New Roman"/>
          <w:color w:val="000000"/>
          <w:sz w:val="24"/>
          <w:szCs w:val="24"/>
        </w:rPr>
        <w:t>A minimum age for prosecution should be set by law</w:t>
      </w:r>
      <w:r w:rsidRPr="00F93325">
        <w:rPr>
          <w:rFonts w:ascii="Times New Roman" w:hAnsi="Times New Roman" w:cs="Times New Roman"/>
          <w:sz w:val="24"/>
          <w:szCs w:val="24"/>
        </w:rPr>
        <w:t>.</w:t>
      </w:r>
      <w:r w:rsidRPr="00F93325">
        <w:rPr>
          <w:rStyle w:val="DipnotBavurusu"/>
          <w:rFonts w:ascii="Times New Roman" w:hAnsi="Times New Roman" w:cs="Times New Roman"/>
          <w:sz w:val="24"/>
          <w:szCs w:val="24"/>
        </w:rPr>
        <w:footnoteReference w:id="103"/>
      </w:r>
    </w:p>
    <w:p w:rsidR="00703CEE" w:rsidRPr="00F93325" w:rsidRDefault="00703CEE" w:rsidP="00F93325">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XI - </w:t>
      </w:r>
      <w:r w:rsidRPr="00F93325">
        <w:rPr>
          <w:rFonts w:ascii="Times New Roman" w:hAnsi="Times New Roman" w:cs="Times New Roman"/>
          <w:b/>
          <w:bCs/>
          <w:sz w:val="24"/>
          <w:szCs w:val="24"/>
        </w:rPr>
        <w:t>COMPENSATION CONCERNING MISCARRIAGE OF JUSTICE</w:t>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r w:rsidRPr="00F93325">
        <w:rPr>
          <w:rFonts w:ascii="Times New Roman" w:hAnsi="Times New Roman" w:cs="Times New Roman"/>
          <w:sz w:val="24"/>
          <w:szCs w:val="24"/>
        </w:rPr>
        <w:t>Articl</w:t>
      </w:r>
      <w:r>
        <w:rPr>
          <w:rFonts w:ascii="Times New Roman" w:hAnsi="Times New Roman" w:cs="Times New Roman"/>
          <w:sz w:val="24"/>
          <w:szCs w:val="24"/>
        </w:rPr>
        <w:t xml:space="preserve">e 14(6) of the ICCPR requires </w:t>
      </w:r>
      <w:r w:rsidRPr="00F93325">
        <w:rPr>
          <w:rFonts w:ascii="Times New Roman" w:hAnsi="Times New Roman" w:cs="Times New Roman"/>
          <w:sz w:val="24"/>
          <w:szCs w:val="24"/>
        </w:rPr>
        <w:t>compensation in cases of miscarriage of justice. The following conditions are required: a-states must secure the right to compensation and that payment is made within a reasonable period of time by law; b-the fault for non-disclosure of newly discovered facts should not be attributable to the accused; c-the judgment in question should be final; and d- the reverse upon an appeal or a pardon for humanitarian, discretionary or other reasons may not give rise to the right to compensation.</w:t>
      </w:r>
      <w:r w:rsidRPr="00F93325">
        <w:rPr>
          <w:rStyle w:val="DipnotBavurusu"/>
          <w:rFonts w:ascii="Times New Roman" w:hAnsi="Times New Roman" w:cs="Times New Roman"/>
          <w:sz w:val="24"/>
          <w:szCs w:val="24"/>
        </w:rPr>
        <w:footnoteReference w:id="104"/>
      </w:r>
    </w:p>
    <w:p w:rsidR="00703CEE" w:rsidRPr="00F93325" w:rsidRDefault="00703CEE" w:rsidP="00F93325">
      <w:pPr>
        <w:autoSpaceDE w:val="0"/>
        <w:autoSpaceDN w:val="0"/>
        <w:adjustRightInd w:val="0"/>
        <w:spacing w:line="240" w:lineRule="auto"/>
        <w:jc w:val="both"/>
        <w:rPr>
          <w:rFonts w:ascii="Times New Roman" w:hAnsi="Times New Roman" w:cs="Times New Roman"/>
          <w:b/>
          <w:bCs/>
          <w:sz w:val="24"/>
          <w:szCs w:val="24"/>
        </w:rPr>
      </w:pPr>
      <w:r w:rsidRPr="00F93325">
        <w:rPr>
          <w:rFonts w:ascii="Times New Roman" w:hAnsi="Times New Roman" w:cs="Times New Roman"/>
          <w:b/>
          <w:bCs/>
          <w:sz w:val="24"/>
          <w:szCs w:val="24"/>
        </w:rPr>
        <w:t>CONCLUSION</w:t>
      </w:r>
    </w:p>
    <w:p w:rsidR="00703CEE" w:rsidRPr="00F93325" w:rsidRDefault="00703CEE" w:rsidP="00F93325">
      <w:pPr>
        <w:spacing w:after="0" w:line="240" w:lineRule="auto"/>
        <w:jc w:val="both"/>
        <w:rPr>
          <w:rFonts w:ascii="Times New Roman" w:hAnsi="Times New Roman" w:cs="Times New Roman"/>
          <w:sz w:val="24"/>
          <w:szCs w:val="24"/>
          <w:lang w:eastAsia="en-GB"/>
        </w:rPr>
      </w:pPr>
      <w:r w:rsidRPr="00F93325">
        <w:rPr>
          <w:rFonts w:ascii="Times New Roman" w:hAnsi="Times New Roman" w:cs="Times New Roman"/>
          <w:sz w:val="24"/>
          <w:szCs w:val="24"/>
          <w:lang w:eastAsia="en-GB"/>
        </w:rPr>
        <w:t>Coverage is vast, but has been gradually clarified by comments and decisions of HR bodies over the last 50 years.  As the case law of HR treaty bodies has developed, state parties to HRT treaties have adjusted their justice systems accordingly, creating substantial improvements in HR in those states. The lack of a central mechanism in this area, however, makes it difficult to clearly determine the principles that must be acknowledged by all states.</w:t>
      </w:r>
    </w:p>
    <w:p w:rsidR="00703CEE" w:rsidRPr="00F93325" w:rsidRDefault="00703CEE" w:rsidP="00F93325">
      <w:pPr>
        <w:spacing w:after="0" w:line="240" w:lineRule="auto"/>
        <w:jc w:val="both"/>
        <w:rPr>
          <w:rFonts w:ascii="Times New Roman" w:hAnsi="Times New Roman" w:cs="Times New Roman"/>
          <w:sz w:val="24"/>
          <w:szCs w:val="24"/>
          <w:lang w:eastAsia="en-GB"/>
        </w:rPr>
      </w:pPr>
      <w:r w:rsidRPr="00F93325">
        <w:rPr>
          <w:rFonts w:ascii="Times New Roman" w:hAnsi="Times New Roman" w:cs="Times New Roman"/>
          <w:sz w:val="24"/>
          <w:szCs w:val="24"/>
          <w:lang w:eastAsia="en-GB"/>
        </w:rPr>
        <w:t> </w:t>
      </w:r>
    </w:p>
    <w:p w:rsidR="00703CEE" w:rsidRPr="00F93325" w:rsidRDefault="00703CEE" w:rsidP="00F93325">
      <w:pPr>
        <w:spacing w:after="0" w:line="240" w:lineRule="auto"/>
        <w:jc w:val="both"/>
        <w:rPr>
          <w:rFonts w:ascii="Times New Roman" w:hAnsi="Times New Roman" w:cs="Times New Roman"/>
          <w:sz w:val="24"/>
          <w:szCs w:val="24"/>
          <w:lang w:eastAsia="en-GB"/>
        </w:rPr>
      </w:pPr>
      <w:r w:rsidRPr="00F93325">
        <w:rPr>
          <w:rFonts w:ascii="Times New Roman" w:hAnsi="Times New Roman" w:cs="Times New Roman"/>
          <w:sz w:val="24"/>
          <w:szCs w:val="24"/>
          <w:lang w:eastAsia="en-GB"/>
        </w:rPr>
        <w:t xml:space="preserve">The </w:t>
      </w:r>
      <w:proofErr w:type="spellStart"/>
      <w:r w:rsidRPr="00F93325">
        <w:rPr>
          <w:rFonts w:ascii="Times New Roman" w:hAnsi="Times New Roman" w:cs="Times New Roman"/>
          <w:sz w:val="24"/>
          <w:szCs w:val="24"/>
          <w:lang w:eastAsia="en-GB"/>
        </w:rPr>
        <w:t>ECtHR</w:t>
      </w:r>
      <w:proofErr w:type="spellEnd"/>
      <w:r w:rsidRPr="00F93325">
        <w:rPr>
          <w:rFonts w:ascii="Times New Roman" w:hAnsi="Times New Roman" w:cs="Times New Roman"/>
          <w:sz w:val="24"/>
          <w:szCs w:val="24"/>
          <w:lang w:eastAsia="en-GB"/>
        </w:rPr>
        <w:t xml:space="preserve"> has largely done its part although developments in economic, cultural, and social arenas continually call for new case law which responds to new necessities. The general IHRL system is underdeveloped in some areas, including requirements for reasoned judgment and judgment within a reasonable period of time. Perhaps it is the non-binding nature of HRC’S decisions that deters individuals from making applications for HR violations, thus limiting clarification of that aspect. </w:t>
      </w:r>
    </w:p>
    <w:p w:rsidR="00703CEE" w:rsidRPr="00F93325" w:rsidRDefault="00703CEE" w:rsidP="00F93325">
      <w:pPr>
        <w:spacing w:after="0" w:line="240" w:lineRule="auto"/>
        <w:jc w:val="both"/>
        <w:rPr>
          <w:rFonts w:ascii="Times New Roman" w:hAnsi="Times New Roman" w:cs="Times New Roman"/>
          <w:sz w:val="24"/>
          <w:szCs w:val="24"/>
          <w:lang w:eastAsia="en-GB"/>
        </w:rPr>
      </w:pPr>
    </w:p>
    <w:p w:rsidR="00703CEE" w:rsidRPr="00F93325" w:rsidRDefault="00703CEE" w:rsidP="00F93325">
      <w:pPr>
        <w:spacing w:after="105" w:line="240" w:lineRule="auto"/>
        <w:jc w:val="both"/>
        <w:rPr>
          <w:rFonts w:ascii="Times New Roman" w:hAnsi="Times New Roman" w:cs="Times New Roman"/>
          <w:sz w:val="24"/>
          <w:szCs w:val="24"/>
          <w:lang w:eastAsia="en-GB"/>
        </w:rPr>
      </w:pPr>
      <w:r w:rsidRPr="00F93325">
        <w:rPr>
          <w:rFonts w:ascii="Times New Roman" w:hAnsi="Times New Roman" w:cs="Times New Roman"/>
          <w:sz w:val="24"/>
          <w:szCs w:val="24"/>
          <w:lang w:eastAsia="en-GB"/>
        </w:rPr>
        <w:lastRenderedPageBreak/>
        <w:t xml:space="preserve">Since jurisprudence of the </w:t>
      </w:r>
      <w:proofErr w:type="spellStart"/>
      <w:r w:rsidRPr="00F93325">
        <w:rPr>
          <w:rFonts w:ascii="Times New Roman" w:hAnsi="Times New Roman" w:cs="Times New Roman"/>
          <w:sz w:val="24"/>
          <w:szCs w:val="24"/>
          <w:lang w:eastAsia="en-GB"/>
        </w:rPr>
        <w:t>ECtHR</w:t>
      </w:r>
      <w:proofErr w:type="spellEnd"/>
      <w:r w:rsidRPr="00F93325">
        <w:rPr>
          <w:rFonts w:ascii="Times New Roman" w:hAnsi="Times New Roman" w:cs="Times New Roman"/>
          <w:sz w:val="24"/>
          <w:szCs w:val="24"/>
          <w:lang w:eastAsia="en-GB"/>
        </w:rPr>
        <w:t xml:space="preserve"> mainly affects states that are members of the Council of Europe, the Human Rights Committee (whose decisions affect 167 states that are parties to the </w:t>
      </w:r>
      <w:proofErr w:type="gramStart"/>
      <w:r w:rsidRPr="00F93325">
        <w:rPr>
          <w:rFonts w:ascii="Times New Roman" w:hAnsi="Times New Roman" w:cs="Times New Roman"/>
          <w:sz w:val="24"/>
          <w:szCs w:val="24"/>
          <w:lang w:eastAsia="en-GB"/>
        </w:rPr>
        <w:t>ICCPR</w:t>
      </w:r>
      <w:proofErr w:type="gramEnd"/>
      <w:r w:rsidR="00003FB8">
        <w:fldChar w:fldCharType="begin"/>
      </w:r>
      <w:r w:rsidR="00003FB8">
        <w:instrText xml:space="preserve"> HYPERLINK "http://by153w.bay153.mail.live.com/mail/RteFrame.html?v=15.4.3103.0517&amp;pf=pf" \l "_ftn1" \t "_blank" </w:instrText>
      </w:r>
      <w:r w:rsidR="00003FB8">
        <w:fldChar w:fldCharType="separate"/>
      </w:r>
      <w:r w:rsidRPr="00F93325">
        <w:rPr>
          <w:rStyle w:val="Kpr"/>
          <w:rFonts w:ascii="Times New Roman" w:hAnsi="Times New Roman" w:cs="Times New Roman"/>
          <w:color w:val="auto"/>
          <w:sz w:val="24"/>
          <w:szCs w:val="24"/>
          <w:u w:val="none"/>
          <w:lang w:eastAsia="en-GB"/>
        </w:rPr>
        <w:t>[1]</w:t>
      </w:r>
      <w:r w:rsidR="00003FB8">
        <w:rPr>
          <w:rStyle w:val="Kpr"/>
          <w:rFonts w:ascii="Times New Roman" w:hAnsi="Times New Roman" w:cs="Times New Roman"/>
          <w:color w:val="auto"/>
          <w:sz w:val="24"/>
          <w:szCs w:val="24"/>
          <w:u w:val="none"/>
          <w:lang w:eastAsia="en-GB"/>
        </w:rPr>
        <w:fldChar w:fldCharType="end"/>
      </w:r>
      <w:r w:rsidRPr="00F93325">
        <w:rPr>
          <w:rFonts w:ascii="Times New Roman" w:hAnsi="Times New Roman" w:cs="Times New Roman"/>
          <w:sz w:val="24"/>
          <w:szCs w:val="24"/>
          <w:u w:val="single"/>
          <w:lang w:eastAsia="en-GB"/>
        </w:rPr>
        <w:t>)</w:t>
      </w:r>
      <w:r w:rsidRPr="00F93325">
        <w:rPr>
          <w:rFonts w:ascii="Times New Roman" w:hAnsi="Times New Roman" w:cs="Times New Roman"/>
          <w:sz w:val="24"/>
          <w:szCs w:val="24"/>
          <w:lang w:eastAsia="en-GB"/>
        </w:rPr>
        <w:t xml:space="preserve"> should be more productive  of decisions in determining the content of the rights in question. This would serve to unify, at an international level, the </w:t>
      </w:r>
      <w:r w:rsidRPr="00F93325">
        <w:rPr>
          <w:rFonts w:ascii="Times New Roman" w:hAnsi="Times New Roman" w:cs="Times New Roman"/>
          <w:sz w:val="24"/>
          <w:szCs w:val="24"/>
          <w:shd w:val="clear" w:color="auto" w:fill="FFFFFF"/>
          <w:lang w:eastAsia="en-GB"/>
        </w:rPr>
        <w:t>criteria for</w:t>
      </w:r>
      <w:r w:rsidRPr="00F93325">
        <w:rPr>
          <w:rFonts w:ascii="Times New Roman" w:hAnsi="Times New Roman" w:cs="Times New Roman"/>
          <w:sz w:val="24"/>
          <w:szCs w:val="24"/>
          <w:lang w:eastAsia="en-GB"/>
        </w:rPr>
        <w:t xml:space="preserve"> quality administration of justice that is ‘sine qua non’ in safeguarding other HR, especially those minority rights which have constantly been violated by states.</w:t>
      </w:r>
    </w:p>
    <w:p w:rsidR="00703CEE" w:rsidRPr="00F93325" w:rsidRDefault="00703CEE" w:rsidP="00F93325">
      <w:pPr>
        <w:pStyle w:val="DipnotMetni"/>
        <w:jc w:val="both"/>
        <w:rPr>
          <w:b/>
          <w:bCs/>
          <w:sz w:val="24"/>
          <w:szCs w:val="24"/>
          <w:lang w:eastAsia="tr-TR"/>
        </w:rPr>
      </w:pPr>
      <w:r w:rsidRPr="00F93325">
        <w:rPr>
          <w:sz w:val="24"/>
          <w:szCs w:val="24"/>
        </w:rPr>
        <w:tab/>
      </w:r>
      <w:r w:rsidRPr="00F93325">
        <w:rPr>
          <w:sz w:val="24"/>
          <w:szCs w:val="24"/>
        </w:rPr>
        <w:tab/>
      </w:r>
      <w:r w:rsidRPr="00F93325">
        <w:rPr>
          <w:sz w:val="24"/>
          <w:szCs w:val="24"/>
        </w:rPr>
        <w:tab/>
      </w:r>
    </w:p>
    <w:p w:rsidR="00703CEE" w:rsidRPr="00F93325" w:rsidRDefault="00703CEE" w:rsidP="00F93325">
      <w:pPr>
        <w:pStyle w:val="DipnotMetni"/>
        <w:ind w:left="1440" w:firstLine="720"/>
        <w:jc w:val="both"/>
        <w:rPr>
          <w:b/>
          <w:bCs/>
          <w:sz w:val="24"/>
          <w:szCs w:val="24"/>
        </w:rPr>
      </w:pPr>
    </w:p>
    <w:p w:rsidR="00703CEE" w:rsidRPr="00F93325" w:rsidRDefault="00703CEE" w:rsidP="00F93325">
      <w:pPr>
        <w:pStyle w:val="DipnotMetni"/>
        <w:ind w:left="1440" w:firstLine="720"/>
        <w:jc w:val="both"/>
        <w:rPr>
          <w:b/>
          <w:bCs/>
          <w:sz w:val="24"/>
          <w:szCs w:val="24"/>
        </w:rPr>
      </w:pPr>
    </w:p>
    <w:p w:rsidR="00703CEE" w:rsidRPr="00F93325" w:rsidRDefault="00703CEE" w:rsidP="00F93325">
      <w:pPr>
        <w:pStyle w:val="DipnotMetni"/>
        <w:ind w:left="1440" w:firstLine="720"/>
        <w:jc w:val="both"/>
        <w:rPr>
          <w:b/>
          <w:bCs/>
          <w:sz w:val="24"/>
          <w:szCs w:val="24"/>
        </w:rPr>
      </w:pPr>
    </w:p>
    <w:p w:rsidR="00703CEE" w:rsidRDefault="00703CEE" w:rsidP="00F93325">
      <w:pPr>
        <w:pStyle w:val="DipnotMetni"/>
        <w:ind w:left="1440" w:firstLine="720"/>
        <w:jc w:val="both"/>
        <w:rPr>
          <w:b/>
          <w:bCs/>
          <w:sz w:val="24"/>
          <w:szCs w:val="24"/>
        </w:rPr>
      </w:pPr>
    </w:p>
    <w:p w:rsidR="00703CEE" w:rsidRDefault="00703CEE" w:rsidP="00F93325">
      <w:pPr>
        <w:pStyle w:val="DipnotMetni"/>
        <w:ind w:left="1440" w:firstLine="720"/>
        <w:jc w:val="both"/>
        <w:rPr>
          <w:b/>
          <w:bCs/>
          <w:sz w:val="24"/>
          <w:szCs w:val="24"/>
        </w:rPr>
      </w:pPr>
    </w:p>
    <w:p w:rsidR="00703CEE" w:rsidRDefault="00703CEE" w:rsidP="00F93325">
      <w:pPr>
        <w:pStyle w:val="DipnotMetni"/>
        <w:ind w:left="1440" w:firstLine="720"/>
        <w:jc w:val="both"/>
        <w:rPr>
          <w:b/>
          <w:bCs/>
          <w:sz w:val="24"/>
          <w:szCs w:val="24"/>
        </w:rPr>
      </w:pPr>
    </w:p>
    <w:p w:rsidR="00703CEE" w:rsidRDefault="00703CEE" w:rsidP="00F93325">
      <w:pPr>
        <w:pStyle w:val="DipnotMetni"/>
        <w:ind w:left="1440" w:firstLine="720"/>
        <w:jc w:val="both"/>
        <w:rPr>
          <w:b/>
          <w:bCs/>
          <w:sz w:val="24"/>
          <w:szCs w:val="24"/>
        </w:rPr>
      </w:pPr>
    </w:p>
    <w:p w:rsidR="00703CEE" w:rsidRDefault="00703CEE" w:rsidP="00F93325">
      <w:pPr>
        <w:pStyle w:val="DipnotMetni"/>
        <w:ind w:left="1440" w:firstLine="720"/>
        <w:jc w:val="both"/>
        <w:rPr>
          <w:b/>
          <w:bCs/>
          <w:sz w:val="24"/>
          <w:szCs w:val="24"/>
        </w:rPr>
      </w:pPr>
    </w:p>
    <w:p w:rsidR="00703CEE" w:rsidRPr="00F93325" w:rsidRDefault="00703CEE" w:rsidP="00F93325">
      <w:pPr>
        <w:pStyle w:val="DipnotMetni"/>
        <w:ind w:left="1440" w:firstLine="720"/>
        <w:jc w:val="both"/>
        <w:rPr>
          <w:b/>
          <w:bCs/>
          <w:sz w:val="24"/>
          <w:szCs w:val="24"/>
        </w:rPr>
      </w:pPr>
    </w:p>
    <w:p w:rsidR="00703CEE" w:rsidRPr="00F93325" w:rsidRDefault="00703CEE" w:rsidP="00F93325">
      <w:pPr>
        <w:pStyle w:val="DipnotMetni"/>
        <w:ind w:left="1440" w:firstLine="720"/>
        <w:jc w:val="both"/>
        <w:rPr>
          <w:b/>
          <w:bCs/>
          <w:sz w:val="24"/>
          <w:szCs w:val="24"/>
        </w:rPr>
      </w:pPr>
    </w:p>
    <w:p w:rsidR="00703CEE" w:rsidRPr="00F93325" w:rsidRDefault="00703CEE" w:rsidP="00F93325">
      <w:pPr>
        <w:pStyle w:val="DipnotMetni"/>
        <w:ind w:left="1440" w:firstLine="720"/>
        <w:jc w:val="both"/>
        <w:rPr>
          <w:b/>
          <w:bCs/>
          <w:sz w:val="24"/>
          <w:szCs w:val="24"/>
        </w:rPr>
      </w:pPr>
    </w:p>
    <w:p w:rsidR="00703CEE" w:rsidRPr="00F93325" w:rsidRDefault="00703CEE" w:rsidP="00F93325">
      <w:pPr>
        <w:pStyle w:val="DipnotMetni"/>
        <w:ind w:left="1440" w:firstLine="720"/>
        <w:jc w:val="both"/>
        <w:rPr>
          <w:b/>
          <w:bCs/>
          <w:sz w:val="24"/>
          <w:szCs w:val="24"/>
        </w:rPr>
      </w:pPr>
    </w:p>
    <w:p w:rsidR="00703CEE" w:rsidRDefault="00703CEE" w:rsidP="00C10882">
      <w:pPr>
        <w:pStyle w:val="DipnotMetni"/>
        <w:jc w:val="center"/>
        <w:rPr>
          <w:b/>
          <w:bCs/>
          <w:sz w:val="24"/>
          <w:szCs w:val="24"/>
        </w:rPr>
      </w:pPr>
    </w:p>
    <w:p w:rsidR="00703CEE" w:rsidRPr="00F93325" w:rsidRDefault="00703CEE" w:rsidP="00C10882">
      <w:pPr>
        <w:pStyle w:val="DipnotMetni"/>
        <w:jc w:val="center"/>
        <w:rPr>
          <w:b/>
          <w:bCs/>
          <w:sz w:val="24"/>
          <w:szCs w:val="24"/>
        </w:rPr>
      </w:pPr>
      <w:r w:rsidRPr="00F93325">
        <w:rPr>
          <w:b/>
          <w:bCs/>
          <w:sz w:val="24"/>
          <w:szCs w:val="24"/>
        </w:rPr>
        <w:t>BIBLIOGRAPHY</w:t>
      </w:r>
    </w:p>
    <w:p w:rsidR="00703CEE" w:rsidRPr="00F93325" w:rsidRDefault="00703CEE" w:rsidP="00F93325">
      <w:pPr>
        <w:pStyle w:val="DipnotMetni"/>
        <w:jc w:val="both"/>
        <w:rPr>
          <w:sz w:val="24"/>
          <w:szCs w:val="24"/>
        </w:rPr>
      </w:pPr>
    </w:p>
    <w:p w:rsidR="00703CEE" w:rsidRPr="00C10882" w:rsidRDefault="00703CEE" w:rsidP="00C10882">
      <w:pPr>
        <w:pStyle w:val="DipnotMetni"/>
        <w:jc w:val="both"/>
        <w:rPr>
          <w:b/>
          <w:bCs/>
          <w:sz w:val="24"/>
          <w:szCs w:val="24"/>
        </w:rPr>
      </w:pPr>
      <w:r w:rsidRPr="00C10882">
        <w:rPr>
          <w:b/>
          <w:bCs/>
          <w:sz w:val="24"/>
          <w:szCs w:val="24"/>
        </w:rPr>
        <w:t>BOOKS</w:t>
      </w:r>
      <w:r w:rsidRPr="00C10882">
        <w:rPr>
          <w:b/>
          <w:bCs/>
          <w:sz w:val="24"/>
          <w:szCs w:val="24"/>
        </w:rPr>
        <w:tab/>
      </w:r>
    </w:p>
    <w:p w:rsidR="00703CEE" w:rsidRPr="00F93325" w:rsidRDefault="00703CEE" w:rsidP="00F93325">
      <w:pPr>
        <w:pStyle w:val="DipnotMetni"/>
        <w:jc w:val="both"/>
        <w:rPr>
          <w:sz w:val="24"/>
          <w:szCs w:val="24"/>
        </w:rPr>
      </w:pPr>
    </w:p>
    <w:p w:rsidR="00703CEE" w:rsidRPr="00F93325" w:rsidRDefault="00703CEE" w:rsidP="00F93325">
      <w:pPr>
        <w:pStyle w:val="DipnotMetni"/>
        <w:jc w:val="both"/>
        <w:rPr>
          <w:sz w:val="24"/>
          <w:szCs w:val="24"/>
          <w:lang w:val="tr-TR"/>
        </w:rPr>
      </w:pPr>
      <w:r w:rsidRPr="00F93325">
        <w:rPr>
          <w:sz w:val="24"/>
          <w:szCs w:val="24"/>
        </w:rPr>
        <w:t xml:space="preserve">De S. Olivier, </w:t>
      </w:r>
      <w:r w:rsidRPr="00F93325">
        <w:rPr>
          <w:i/>
          <w:iCs/>
          <w:sz w:val="24"/>
          <w:szCs w:val="24"/>
        </w:rPr>
        <w:t>International Human Rights Law</w:t>
      </w:r>
      <w:proofErr w:type="gramStart"/>
      <w:r w:rsidRPr="00F93325">
        <w:rPr>
          <w:i/>
          <w:iCs/>
          <w:sz w:val="24"/>
          <w:szCs w:val="24"/>
        </w:rPr>
        <w:t>,(</w:t>
      </w:r>
      <w:proofErr w:type="gramEnd"/>
      <w:r w:rsidRPr="00F93325">
        <w:rPr>
          <w:sz w:val="24"/>
          <w:szCs w:val="24"/>
        </w:rPr>
        <w:t xml:space="preserve">2010 CUP) </w:t>
      </w:r>
    </w:p>
    <w:p w:rsidR="00703CEE" w:rsidRPr="00F93325" w:rsidRDefault="00703CEE" w:rsidP="00F93325">
      <w:pPr>
        <w:pStyle w:val="DipnotMetni"/>
        <w:jc w:val="both"/>
        <w:rPr>
          <w:sz w:val="24"/>
          <w:szCs w:val="24"/>
        </w:rPr>
      </w:pPr>
    </w:p>
    <w:p w:rsidR="00703CEE" w:rsidRPr="00F93325" w:rsidRDefault="00703CEE" w:rsidP="00F93325">
      <w:pPr>
        <w:pStyle w:val="DipnotMetni"/>
        <w:jc w:val="both"/>
        <w:rPr>
          <w:sz w:val="24"/>
          <w:szCs w:val="24"/>
        </w:rPr>
      </w:pPr>
      <w:proofErr w:type="spellStart"/>
      <w:r w:rsidRPr="00F93325">
        <w:rPr>
          <w:sz w:val="24"/>
          <w:szCs w:val="24"/>
          <w:lang w:val="tr-TR"/>
        </w:rPr>
        <w:t>Amnesty</w:t>
      </w:r>
      <w:proofErr w:type="spellEnd"/>
      <w:r w:rsidRPr="00F93325">
        <w:rPr>
          <w:sz w:val="24"/>
          <w:szCs w:val="24"/>
          <w:lang w:val="tr-TR"/>
        </w:rPr>
        <w:t xml:space="preserve"> International, </w:t>
      </w:r>
      <w:proofErr w:type="spellStart"/>
      <w:r w:rsidRPr="00F93325">
        <w:rPr>
          <w:i/>
          <w:iCs/>
          <w:sz w:val="24"/>
          <w:szCs w:val="24"/>
          <w:lang w:val="tr-TR"/>
        </w:rPr>
        <w:t>Fair</w:t>
      </w:r>
      <w:proofErr w:type="spellEnd"/>
      <w:r w:rsidRPr="00F93325">
        <w:rPr>
          <w:i/>
          <w:iCs/>
          <w:sz w:val="24"/>
          <w:szCs w:val="24"/>
          <w:lang w:val="tr-TR"/>
        </w:rPr>
        <w:t xml:space="preserve"> Trial Manual</w:t>
      </w:r>
      <w:r w:rsidRPr="00F93325">
        <w:rPr>
          <w:sz w:val="24"/>
          <w:szCs w:val="24"/>
          <w:lang w:val="tr-TR"/>
        </w:rPr>
        <w:t>, (</w:t>
      </w:r>
      <w:r w:rsidRPr="00F93325">
        <w:rPr>
          <w:sz w:val="24"/>
          <w:szCs w:val="24"/>
        </w:rPr>
        <w:t xml:space="preserve">Amnesty International Publications 1998) </w:t>
      </w:r>
    </w:p>
    <w:p w:rsidR="00703CEE" w:rsidRPr="00F93325" w:rsidRDefault="00703CEE" w:rsidP="00F93325">
      <w:pPr>
        <w:pStyle w:val="DipnotMetni"/>
        <w:jc w:val="both"/>
        <w:rPr>
          <w:sz w:val="24"/>
          <w:szCs w:val="24"/>
        </w:rPr>
      </w:pPr>
    </w:p>
    <w:p w:rsidR="00703CEE" w:rsidRPr="00F93325" w:rsidRDefault="00703CEE" w:rsidP="00F93325">
      <w:pPr>
        <w:pStyle w:val="DipnotMetni"/>
        <w:jc w:val="both"/>
        <w:rPr>
          <w:sz w:val="24"/>
          <w:szCs w:val="24"/>
          <w:lang w:val="tr-TR"/>
        </w:rPr>
      </w:pPr>
      <w:r w:rsidRPr="00F93325">
        <w:rPr>
          <w:sz w:val="24"/>
          <w:szCs w:val="24"/>
          <w:lang w:val="tr-TR"/>
        </w:rPr>
        <w:t>White R. C. A. &amp;</w:t>
      </w:r>
      <w:proofErr w:type="spellStart"/>
      <w:r w:rsidRPr="00F93325">
        <w:rPr>
          <w:sz w:val="24"/>
          <w:szCs w:val="24"/>
          <w:lang w:val="tr-TR"/>
        </w:rPr>
        <w:t>Ovey</w:t>
      </w:r>
      <w:proofErr w:type="spellEnd"/>
      <w:r w:rsidRPr="00F93325">
        <w:rPr>
          <w:sz w:val="24"/>
          <w:szCs w:val="24"/>
          <w:lang w:val="tr-TR"/>
        </w:rPr>
        <w:t xml:space="preserve"> C</w:t>
      </w:r>
      <w:proofErr w:type="gramStart"/>
      <w:r w:rsidRPr="00F93325">
        <w:rPr>
          <w:sz w:val="24"/>
          <w:szCs w:val="24"/>
          <w:lang w:val="tr-TR"/>
        </w:rPr>
        <w:t>.,</w:t>
      </w:r>
      <w:proofErr w:type="spellStart"/>
      <w:proofErr w:type="gramEnd"/>
      <w:r w:rsidRPr="00F93325">
        <w:rPr>
          <w:i/>
          <w:iCs/>
          <w:sz w:val="24"/>
          <w:szCs w:val="24"/>
          <w:lang w:val="tr-TR"/>
        </w:rPr>
        <w:t>TheEuropeanConvention</w:t>
      </w:r>
      <w:proofErr w:type="spellEnd"/>
      <w:r w:rsidRPr="00F93325">
        <w:rPr>
          <w:i/>
          <w:iCs/>
          <w:sz w:val="24"/>
          <w:szCs w:val="24"/>
          <w:lang w:val="tr-TR"/>
        </w:rPr>
        <w:t xml:space="preserve"> on Human </w:t>
      </w:r>
      <w:proofErr w:type="spellStart"/>
      <w:r w:rsidRPr="00F93325">
        <w:rPr>
          <w:i/>
          <w:iCs/>
          <w:sz w:val="24"/>
          <w:szCs w:val="24"/>
          <w:lang w:val="tr-TR"/>
        </w:rPr>
        <w:t>Rights</w:t>
      </w:r>
      <w:proofErr w:type="spellEnd"/>
      <w:r w:rsidRPr="00F93325">
        <w:rPr>
          <w:i/>
          <w:iCs/>
          <w:sz w:val="24"/>
          <w:szCs w:val="24"/>
          <w:lang w:val="tr-TR"/>
        </w:rPr>
        <w:t>,</w:t>
      </w:r>
      <w:r w:rsidRPr="00F93325">
        <w:rPr>
          <w:sz w:val="24"/>
          <w:szCs w:val="24"/>
          <w:lang w:val="tr-TR"/>
        </w:rPr>
        <w:t xml:space="preserve"> (5th </w:t>
      </w:r>
      <w:proofErr w:type="spellStart"/>
      <w:r w:rsidRPr="00F93325">
        <w:rPr>
          <w:sz w:val="24"/>
          <w:szCs w:val="24"/>
          <w:lang w:val="tr-TR"/>
        </w:rPr>
        <w:t>edition</w:t>
      </w:r>
      <w:proofErr w:type="spellEnd"/>
      <w:r w:rsidRPr="00F93325">
        <w:rPr>
          <w:sz w:val="24"/>
          <w:szCs w:val="24"/>
          <w:lang w:val="tr-TR"/>
        </w:rPr>
        <w:t>, OUP 2010,)</w:t>
      </w:r>
    </w:p>
    <w:p w:rsidR="00703CEE" w:rsidRPr="00F93325" w:rsidRDefault="00703CEE" w:rsidP="00F93325">
      <w:pPr>
        <w:pStyle w:val="DipnotMetni"/>
        <w:jc w:val="both"/>
        <w:rPr>
          <w:sz w:val="24"/>
          <w:szCs w:val="24"/>
          <w:lang w:val="tr-TR"/>
        </w:rPr>
      </w:pPr>
    </w:p>
    <w:p w:rsidR="00703CEE" w:rsidRPr="00F93325" w:rsidRDefault="00703CEE" w:rsidP="00F93325">
      <w:pPr>
        <w:pStyle w:val="DipnotMetni"/>
        <w:jc w:val="both"/>
        <w:rPr>
          <w:sz w:val="24"/>
          <w:szCs w:val="24"/>
          <w:lang w:val="tr-TR"/>
        </w:rPr>
      </w:pPr>
      <w:proofErr w:type="spellStart"/>
      <w:r w:rsidRPr="00F93325">
        <w:rPr>
          <w:sz w:val="24"/>
          <w:szCs w:val="24"/>
          <w:lang w:val="tr-TR"/>
        </w:rPr>
        <w:t>Janis</w:t>
      </w:r>
      <w:proofErr w:type="spellEnd"/>
      <w:r w:rsidRPr="00F93325">
        <w:rPr>
          <w:sz w:val="24"/>
          <w:szCs w:val="24"/>
          <w:lang w:val="tr-TR"/>
        </w:rPr>
        <w:t xml:space="preserve"> M. V</w:t>
      </w:r>
      <w:proofErr w:type="gramStart"/>
      <w:r w:rsidRPr="00F93325">
        <w:rPr>
          <w:sz w:val="24"/>
          <w:szCs w:val="24"/>
          <w:lang w:val="tr-TR"/>
        </w:rPr>
        <w:t>.,</w:t>
      </w:r>
      <w:proofErr w:type="gramEnd"/>
      <w:r w:rsidRPr="00F93325">
        <w:rPr>
          <w:sz w:val="24"/>
          <w:szCs w:val="24"/>
          <w:lang w:val="tr-TR"/>
        </w:rPr>
        <w:t xml:space="preserve">  Kay R.S, </w:t>
      </w:r>
      <w:proofErr w:type="spellStart"/>
      <w:r w:rsidRPr="00F93325">
        <w:rPr>
          <w:sz w:val="24"/>
          <w:szCs w:val="24"/>
          <w:lang w:val="tr-TR"/>
        </w:rPr>
        <w:t>Bradley</w:t>
      </w:r>
      <w:proofErr w:type="spellEnd"/>
      <w:r w:rsidRPr="00F93325">
        <w:rPr>
          <w:sz w:val="24"/>
          <w:szCs w:val="24"/>
          <w:lang w:val="tr-TR"/>
        </w:rPr>
        <w:t xml:space="preserve"> W., </w:t>
      </w:r>
      <w:proofErr w:type="spellStart"/>
      <w:r w:rsidRPr="00F93325">
        <w:rPr>
          <w:i/>
          <w:iCs/>
          <w:sz w:val="24"/>
          <w:szCs w:val="24"/>
          <w:lang w:val="tr-TR"/>
        </w:rPr>
        <w:t>European</w:t>
      </w:r>
      <w:proofErr w:type="spellEnd"/>
      <w:r w:rsidRPr="00F93325">
        <w:rPr>
          <w:i/>
          <w:iCs/>
          <w:sz w:val="24"/>
          <w:szCs w:val="24"/>
          <w:lang w:val="tr-TR"/>
        </w:rPr>
        <w:t xml:space="preserve"> Human </w:t>
      </w:r>
      <w:proofErr w:type="spellStart"/>
      <w:r w:rsidRPr="00F93325">
        <w:rPr>
          <w:i/>
          <w:iCs/>
          <w:sz w:val="24"/>
          <w:szCs w:val="24"/>
          <w:lang w:val="tr-TR"/>
        </w:rPr>
        <w:t>RightsLaw</w:t>
      </w:r>
      <w:proofErr w:type="spellEnd"/>
      <w:r w:rsidRPr="00F93325">
        <w:rPr>
          <w:i/>
          <w:iCs/>
          <w:sz w:val="24"/>
          <w:szCs w:val="24"/>
          <w:lang w:val="tr-TR"/>
        </w:rPr>
        <w:t xml:space="preserve">, </w:t>
      </w:r>
      <w:proofErr w:type="spellStart"/>
      <w:r w:rsidRPr="00F93325">
        <w:rPr>
          <w:i/>
          <w:iCs/>
          <w:sz w:val="24"/>
          <w:szCs w:val="24"/>
          <w:lang w:val="tr-TR"/>
        </w:rPr>
        <w:t>TextandMaterials</w:t>
      </w:r>
      <w:proofErr w:type="spellEnd"/>
      <w:r w:rsidRPr="00F93325">
        <w:rPr>
          <w:i/>
          <w:iCs/>
          <w:sz w:val="24"/>
          <w:szCs w:val="24"/>
          <w:lang w:val="tr-TR"/>
        </w:rPr>
        <w:t>,</w:t>
      </w:r>
      <w:r w:rsidRPr="00F93325">
        <w:rPr>
          <w:sz w:val="24"/>
          <w:szCs w:val="24"/>
          <w:lang w:val="tr-TR"/>
        </w:rPr>
        <w:t xml:space="preserve"> (3th </w:t>
      </w:r>
      <w:proofErr w:type="spellStart"/>
      <w:r w:rsidRPr="00F93325">
        <w:rPr>
          <w:sz w:val="24"/>
          <w:szCs w:val="24"/>
          <w:lang w:val="tr-TR"/>
        </w:rPr>
        <w:t>edition</w:t>
      </w:r>
      <w:proofErr w:type="spellEnd"/>
      <w:r w:rsidRPr="00F93325">
        <w:rPr>
          <w:sz w:val="24"/>
          <w:szCs w:val="24"/>
          <w:lang w:val="tr-TR"/>
        </w:rPr>
        <w:t xml:space="preserve">, OUP 2008,) </w:t>
      </w:r>
    </w:p>
    <w:p w:rsidR="00703CEE" w:rsidRPr="00F93325" w:rsidRDefault="00703CEE" w:rsidP="00F93325">
      <w:pPr>
        <w:pStyle w:val="DipnotMetni"/>
        <w:jc w:val="both"/>
        <w:rPr>
          <w:sz w:val="24"/>
          <w:szCs w:val="24"/>
        </w:rPr>
      </w:pPr>
    </w:p>
    <w:p w:rsidR="00703CEE" w:rsidRPr="00F93325" w:rsidRDefault="00703CEE" w:rsidP="00F93325">
      <w:pPr>
        <w:pStyle w:val="DipnotMetni"/>
        <w:jc w:val="both"/>
        <w:rPr>
          <w:sz w:val="24"/>
          <w:szCs w:val="24"/>
        </w:rPr>
      </w:pPr>
    </w:p>
    <w:p w:rsidR="00703CEE" w:rsidRPr="00C10882" w:rsidRDefault="00703CEE" w:rsidP="00F93325">
      <w:pPr>
        <w:pStyle w:val="DipnotMetni"/>
        <w:jc w:val="both"/>
        <w:rPr>
          <w:b/>
          <w:bCs/>
          <w:sz w:val="24"/>
          <w:szCs w:val="24"/>
        </w:rPr>
      </w:pPr>
      <w:r w:rsidRPr="00C10882">
        <w:rPr>
          <w:b/>
          <w:bCs/>
          <w:sz w:val="24"/>
          <w:szCs w:val="24"/>
        </w:rPr>
        <w:t>JOURNAL ARTICLES</w:t>
      </w:r>
    </w:p>
    <w:p w:rsidR="00703CEE" w:rsidRPr="00F93325" w:rsidRDefault="00703CEE" w:rsidP="00F93325">
      <w:pPr>
        <w:pStyle w:val="DipnotMetni"/>
        <w:jc w:val="both"/>
        <w:rPr>
          <w:sz w:val="24"/>
          <w:szCs w:val="24"/>
        </w:rPr>
      </w:pPr>
    </w:p>
    <w:p w:rsidR="00703CEE" w:rsidRPr="00F93325" w:rsidRDefault="00703CEE" w:rsidP="00F93325">
      <w:pPr>
        <w:spacing w:after="0" w:line="240" w:lineRule="auto"/>
        <w:jc w:val="both"/>
        <w:rPr>
          <w:rFonts w:ascii="Times New Roman" w:hAnsi="Times New Roman" w:cs="Times New Roman"/>
          <w:sz w:val="24"/>
          <w:szCs w:val="24"/>
          <w:lang w:val="tr-TR"/>
        </w:rPr>
      </w:pPr>
      <w:proofErr w:type="spellStart"/>
      <w:r w:rsidRPr="00F93325">
        <w:rPr>
          <w:rFonts w:ascii="Times New Roman" w:hAnsi="Times New Roman" w:cs="Times New Roman"/>
          <w:sz w:val="24"/>
          <w:szCs w:val="24"/>
        </w:rPr>
        <w:t>Jia</w:t>
      </w:r>
      <w:proofErr w:type="spellEnd"/>
      <w:r w:rsidRPr="00F93325">
        <w:rPr>
          <w:rFonts w:ascii="Times New Roman" w:hAnsi="Times New Roman" w:cs="Times New Roman"/>
          <w:sz w:val="24"/>
          <w:szCs w:val="24"/>
        </w:rPr>
        <w:t xml:space="preserve"> B. B., ‘The Relations between Treaties and Custom’ (2010) 9 Chinese JIL 84</w:t>
      </w:r>
    </w:p>
    <w:p w:rsidR="00703CEE" w:rsidRPr="00F93325" w:rsidRDefault="00703CEE" w:rsidP="00F93325">
      <w:pPr>
        <w:pStyle w:val="AralkYok"/>
        <w:jc w:val="both"/>
        <w:rPr>
          <w:rFonts w:ascii="Times New Roman" w:hAnsi="Times New Roman" w:cs="Times New Roman"/>
          <w:sz w:val="24"/>
          <w:szCs w:val="24"/>
        </w:rPr>
      </w:pPr>
    </w:p>
    <w:p w:rsidR="00703CEE" w:rsidRPr="00F93325" w:rsidRDefault="00703CEE" w:rsidP="00F93325">
      <w:pPr>
        <w:pStyle w:val="AralkYok"/>
        <w:jc w:val="both"/>
        <w:rPr>
          <w:rFonts w:ascii="Times New Roman" w:hAnsi="Times New Roman" w:cs="Times New Roman"/>
          <w:sz w:val="24"/>
          <w:szCs w:val="24"/>
          <w:lang w:val="tr-TR"/>
        </w:rPr>
      </w:pPr>
      <w:proofErr w:type="spellStart"/>
      <w:r w:rsidRPr="00F93325">
        <w:rPr>
          <w:rFonts w:ascii="Times New Roman" w:hAnsi="Times New Roman" w:cs="Times New Roman"/>
          <w:sz w:val="24"/>
          <w:szCs w:val="24"/>
        </w:rPr>
        <w:t>Mutua</w:t>
      </w:r>
      <w:proofErr w:type="spellEnd"/>
      <w:r w:rsidRPr="00F93325">
        <w:rPr>
          <w:rFonts w:ascii="Times New Roman" w:hAnsi="Times New Roman" w:cs="Times New Roman"/>
          <w:sz w:val="24"/>
          <w:szCs w:val="24"/>
        </w:rPr>
        <w:t xml:space="preserve"> M., ‘Standard Setting in Human Rights: Critique and </w:t>
      </w:r>
      <w:proofErr w:type="gramStart"/>
      <w:r w:rsidRPr="00F93325">
        <w:rPr>
          <w:rFonts w:ascii="Times New Roman" w:hAnsi="Times New Roman" w:cs="Times New Roman"/>
          <w:sz w:val="24"/>
          <w:szCs w:val="24"/>
        </w:rPr>
        <w:t>Prognosis’(</w:t>
      </w:r>
      <w:proofErr w:type="gramEnd"/>
      <w:r w:rsidRPr="00F93325">
        <w:rPr>
          <w:rFonts w:ascii="Times New Roman" w:hAnsi="Times New Roman" w:cs="Times New Roman"/>
          <w:sz w:val="24"/>
          <w:szCs w:val="24"/>
        </w:rPr>
        <w:t xml:space="preserve">2007) 29 HRQ </w:t>
      </w:r>
    </w:p>
    <w:p w:rsidR="00703CEE" w:rsidRPr="00F93325" w:rsidRDefault="00703CEE" w:rsidP="00F93325">
      <w:pPr>
        <w:pStyle w:val="DipnotMetni"/>
        <w:jc w:val="both"/>
        <w:rPr>
          <w:sz w:val="24"/>
          <w:szCs w:val="24"/>
        </w:rPr>
      </w:pPr>
    </w:p>
    <w:p w:rsidR="00703CEE" w:rsidRDefault="00703CEE" w:rsidP="00C10882">
      <w:pPr>
        <w:pStyle w:val="DipnotMetni"/>
        <w:jc w:val="both"/>
        <w:rPr>
          <w:sz w:val="24"/>
          <w:szCs w:val="24"/>
        </w:rPr>
      </w:pPr>
      <w:r w:rsidRPr="00F93325">
        <w:rPr>
          <w:sz w:val="24"/>
          <w:szCs w:val="24"/>
        </w:rPr>
        <w:tab/>
      </w:r>
      <w:r w:rsidRPr="00F93325">
        <w:rPr>
          <w:sz w:val="24"/>
          <w:szCs w:val="24"/>
        </w:rPr>
        <w:tab/>
      </w:r>
      <w:r w:rsidRPr="00F93325">
        <w:rPr>
          <w:sz w:val="24"/>
          <w:szCs w:val="24"/>
        </w:rPr>
        <w:tab/>
      </w:r>
    </w:p>
    <w:p w:rsidR="00703CEE" w:rsidRPr="00C10882" w:rsidRDefault="00703CEE" w:rsidP="00C10882">
      <w:pPr>
        <w:pStyle w:val="DipnotMetni"/>
        <w:jc w:val="both"/>
        <w:rPr>
          <w:sz w:val="24"/>
          <w:szCs w:val="24"/>
        </w:rPr>
      </w:pPr>
      <w:r w:rsidRPr="00C10882">
        <w:rPr>
          <w:b/>
          <w:bCs/>
          <w:sz w:val="24"/>
          <w:szCs w:val="24"/>
        </w:rPr>
        <w:t>CHAPTERS IN THE BOOKS</w:t>
      </w:r>
      <w:r w:rsidRPr="00C10882">
        <w:rPr>
          <w:b/>
          <w:bCs/>
          <w:sz w:val="24"/>
          <w:szCs w:val="24"/>
        </w:rPr>
        <w:tab/>
      </w:r>
    </w:p>
    <w:p w:rsidR="00703CEE" w:rsidRPr="00F93325" w:rsidRDefault="00703CEE" w:rsidP="00F93325">
      <w:pPr>
        <w:pStyle w:val="DipnotMetni"/>
        <w:jc w:val="both"/>
        <w:rPr>
          <w:sz w:val="24"/>
          <w:szCs w:val="24"/>
        </w:rPr>
      </w:pPr>
    </w:p>
    <w:p w:rsidR="00703CEE" w:rsidRPr="00F93325" w:rsidRDefault="00703CEE" w:rsidP="00F93325">
      <w:pPr>
        <w:pStyle w:val="DipnotMetni"/>
        <w:jc w:val="both"/>
        <w:rPr>
          <w:i/>
          <w:iCs/>
          <w:sz w:val="24"/>
          <w:szCs w:val="24"/>
          <w:lang w:val="tr-TR"/>
        </w:rPr>
      </w:pPr>
      <w:proofErr w:type="spellStart"/>
      <w:r w:rsidRPr="00F93325">
        <w:rPr>
          <w:sz w:val="24"/>
          <w:szCs w:val="24"/>
        </w:rPr>
        <w:lastRenderedPageBreak/>
        <w:t>Thirlway</w:t>
      </w:r>
      <w:proofErr w:type="spellEnd"/>
      <w:r w:rsidRPr="00F93325">
        <w:rPr>
          <w:sz w:val="24"/>
          <w:szCs w:val="24"/>
        </w:rPr>
        <w:t xml:space="preserve"> H., ‘The sources of International Law’ in </w:t>
      </w:r>
      <w:proofErr w:type="spellStart"/>
      <w:r w:rsidRPr="00F93325">
        <w:rPr>
          <w:sz w:val="24"/>
          <w:szCs w:val="24"/>
          <w:lang w:val="tr-TR"/>
        </w:rPr>
        <w:t>MalcolmEvans</w:t>
      </w:r>
      <w:proofErr w:type="spellEnd"/>
      <w:r w:rsidRPr="00F93325">
        <w:rPr>
          <w:sz w:val="24"/>
          <w:szCs w:val="24"/>
          <w:lang w:val="tr-TR"/>
        </w:rPr>
        <w:t xml:space="preserve">, </w:t>
      </w:r>
      <w:r w:rsidRPr="00F93325">
        <w:rPr>
          <w:i/>
          <w:iCs/>
          <w:sz w:val="24"/>
          <w:szCs w:val="24"/>
          <w:lang w:val="tr-TR"/>
        </w:rPr>
        <w:t xml:space="preserve">International </w:t>
      </w:r>
      <w:proofErr w:type="spellStart"/>
      <w:r w:rsidRPr="00F93325">
        <w:rPr>
          <w:i/>
          <w:iCs/>
          <w:sz w:val="24"/>
          <w:szCs w:val="24"/>
          <w:lang w:val="tr-TR"/>
        </w:rPr>
        <w:t>Law</w:t>
      </w:r>
      <w:proofErr w:type="spellEnd"/>
      <w:proofErr w:type="gramStart"/>
      <w:r w:rsidRPr="00F93325">
        <w:rPr>
          <w:i/>
          <w:iCs/>
          <w:sz w:val="24"/>
          <w:szCs w:val="24"/>
          <w:lang w:val="tr-TR"/>
        </w:rPr>
        <w:t>,</w:t>
      </w:r>
      <w:r w:rsidRPr="00F93325">
        <w:rPr>
          <w:sz w:val="24"/>
          <w:szCs w:val="24"/>
          <w:lang w:val="tr-TR"/>
        </w:rPr>
        <w:t>(</w:t>
      </w:r>
      <w:proofErr w:type="gramEnd"/>
      <w:r w:rsidRPr="00F93325">
        <w:rPr>
          <w:sz w:val="24"/>
          <w:szCs w:val="24"/>
          <w:lang w:val="tr-TR"/>
        </w:rPr>
        <w:t xml:space="preserve">2nd </w:t>
      </w:r>
      <w:proofErr w:type="spellStart"/>
      <w:r w:rsidRPr="00F93325">
        <w:rPr>
          <w:sz w:val="24"/>
          <w:szCs w:val="24"/>
          <w:lang w:val="tr-TR"/>
        </w:rPr>
        <w:t>edn</w:t>
      </w:r>
      <w:proofErr w:type="spellEnd"/>
      <w:r w:rsidRPr="00F93325">
        <w:rPr>
          <w:sz w:val="24"/>
          <w:szCs w:val="24"/>
          <w:lang w:val="tr-TR"/>
        </w:rPr>
        <w:t xml:space="preserve">, 2010 OUP) </w:t>
      </w:r>
    </w:p>
    <w:p w:rsidR="00703CEE" w:rsidRPr="00F93325" w:rsidRDefault="00703CEE" w:rsidP="00F93325">
      <w:pPr>
        <w:spacing w:after="0" w:line="240" w:lineRule="auto"/>
        <w:jc w:val="both"/>
        <w:rPr>
          <w:rFonts w:ascii="Times New Roman" w:hAnsi="Times New Roman" w:cs="Times New Roman"/>
          <w:sz w:val="24"/>
          <w:szCs w:val="24"/>
        </w:rPr>
      </w:pPr>
    </w:p>
    <w:p w:rsidR="00703CEE" w:rsidRPr="00F93325" w:rsidRDefault="00703CEE" w:rsidP="00F93325">
      <w:pPr>
        <w:pStyle w:val="DipnotMetni"/>
        <w:jc w:val="both"/>
        <w:rPr>
          <w:sz w:val="24"/>
          <w:szCs w:val="24"/>
          <w:lang w:val="tr-TR"/>
        </w:rPr>
      </w:pPr>
      <w:proofErr w:type="spellStart"/>
      <w:r w:rsidRPr="00F93325">
        <w:rPr>
          <w:sz w:val="24"/>
          <w:szCs w:val="24"/>
        </w:rPr>
        <w:t>Chinkine</w:t>
      </w:r>
      <w:proofErr w:type="spellEnd"/>
      <w:r w:rsidRPr="00F93325">
        <w:rPr>
          <w:sz w:val="24"/>
          <w:szCs w:val="24"/>
        </w:rPr>
        <w:t xml:space="preserve"> C., ‘Sources’, in</w:t>
      </w:r>
      <w:proofErr w:type="spellStart"/>
      <w:r w:rsidRPr="00F93325">
        <w:rPr>
          <w:sz w:val="24"/>
          <w:szCs w:val="24"/>
          <w:lang w:val="tr-TR"/>
        </w:rPr>
        <w:t>Moeckly</w:t>
      </w:r>
      <w:proofErr w:type="spellEnd"/>
      <w:r w:rsidRPr="00F93325">
        <w:rPr>
          <w:sz w:val="24"/>
          <w:szCs w:val="24"/>
          <w:lang w:val="tr-TR"/>
        </w:rPr>
        <w:t xml:space="preserve"> D., </w:t>
      </w:r>
      <w:proofErr w:type="spellStart"/>
      <w:r w:rsidRPr="00F93325">
        <w:rPr>
          <w:sz w:val="24"/>
          <w:szCs w:val="24"/>
          <w:lang w:val="tr-TR"/>
        </w:rPr>
        <w:t>Shah</w:t>
      </w:r>
      <w:proofErr w:type="spellEnd"/>
      <w:r w:rsidRPr="00F93325">
        <w:rPr>
          <w:sz w:val="24"/>
          <w:szCs w:val="24"/>
          <w:lang w:val="tr-TR"/>
        </w:rPr>
        <w:t xml:space="preserve"> S., </w:t>
      </w:r>
      <w:proofErr w:type="spellStart"/>
      <w:r w:rsidRPr="00F93325">
        <w:rPr>
          <w:sz w:val="24"/>
          <w:szCs w:val="24"/>
          <w:lang w:val="tr-TR"/>
        </w:rPr>
        <w:t>Sivakumaran</w:t>
      </w:r>
      <w:proofErr w:type="spellEnd"/>
      <w:r w:rsidRPr="00F93325">
        <w:rPr>
          <w:sz w:val="24"/>
          <w:szCs w:val="24"/>
          <w:lang w:val="tr-TR"/>
        </w:rPr>
        <w:t xml:space="preserve"> S. (</w:t>
      </w:r>
      <w:proofErr w:type="spellStart"/>
      <w:r w:rsidRPr="00F93325">
        <w:rPr>
          <w:sz w:val="24"/>
          <w:szCs w:val="24"/>
          <w:lang w:val="tr-TR"/>
        </w:rPr>
        <w:t>ed</w:t>
      </w:r>
      <w:proofErr w:type="spellEnd"/>
      <w:r w:rsidRPr="00F93325">
        <w:rPr>
          <w:sz w:val="24"/>
          <w:szCs w:val="24"/>
          <w:lang w:val="tr-TR"/>
        </w:rPr>
        <w:t xml:space="preserve">), </w:t>
      </w:r>
      <w:r w:rsidRPr="00F93325">
        <w:rPr>
          <w:i/>
          <w:iCs/>
          <w:sz w:val="24"/>
          <w:szCs w:val="24"/>
          <w:lang w:val="tr-TR"/>
        </w:rPr>
        <w:t xml:space="preserve">International Human </w:t>
      </w:r>
      <w:proofErr w:type="spellStart"/>
      <w:r w:rsidRPr="00F93325">
        <w:rPr>
          <w:i/>
          <w:iCs/>
          <w:sz w:val="24"/>
          <w:szCs w:val="24"/>
          <w:lang w:val="tr-TR"/>
        </w:rPr>
        <w:t>RightsLaw</w:t>
      </w:r>
      <w:proofErr w:type="spellEnd"/>
      <w:r w:rsidRPr="00F93325">
        <w:rPr>
          <w:i/>
          <w:iCs/>
          <w:sz w:val="24"/>
          <w:szCs w:val="24"/>
          <w:lang w:val="tr-TR"/>
        </w:rPr>
        <w:t xml:space="preserve">, </w:t>
      </w:r>
      <w:r w:rsidRPr="00F93325">
        <w:rPr>
          <w:sz w:val="24"/>
          <w:szCs w:val="24"/>
          <w:lang w:val="tr-TR"/>
        </w:rPr>
        <w:t xml:space="preserve">(OUP 2010) </w:t>
      </w:r>
      <w:proofErr w:type="spellStart"/>
      <w:r w:rsidRPr="00F93325">
        <w:rPr>
          <w:sz w:val="24"/>
          <w:szCs w:val="24"/>
          <w:lang w:val="tr-TR"/>
        </w:rPr>
        <w:t>chapter</w:t>
      </w:r>
      <w:proofErr w:type="spellEnd"/>
      <w:r w:rsidRPr="00F93325">
        <w:rPr>
          <w:sz w:val="24"/>
          <w:szCs w:val="24"/>
          <w:lang w:val="tr-TR"/>
        </w:rPr>
        <w:t xml:space="preserve"> 5</w:t>
      </w:r>
    </w:p>
    <w:p w:rsidR="00703CEE" w:rsidRPr="00F93325" w:rsidRDefault="00703CEE" w:rsidP="00F93325">
      <w:pPr>
        <w:pStyle w:val="DipnotMetni"/>
        <w:jc w:val="both"/>
        <w:rPr>
          <w:sz w:val="24"/>
          <w:szCs w:val="24"/>
          <w:lang w:val="tr-TR"/>
        </w:rPr>
      </w:pPr>
    </w:p>
    <w:p w:rsidR="00703CEE" w:rsidRPr="00F93325" w:rsidRDefault="00703CEE" w:rsidP="00F93325">
      <w:pPr>
        <w:pStyle w:val="DipnotMetni"/>
        <w:jc w:val="both"/>
        <w:rPr>
          <w:sz w:val="24"/>
          <w:szCs w:val="24"/>
          <w:lang w:val="tr-TR"/>
        </w:rPr>
      </w:pPr>
    </w:p>
    <w:p w:rsidR="00703CEE" w:rsidRPr="00F93325" w:rsidRDefault="00703CEE" w:rsidP="00F93325">
      <w:pPr>
        <w:pStyle w:val="DipnotMetni"/>
        <w:jc w:val="both"/>
        <w:rPr>
          <w:sz w:val="24"/>
          <w:szCs w:val="24"/>
        </w:rPr>
      </w:pPr>
      <w:r w:rsidRPr="00F93325">
        <w:rPr>
          <w:sz w:val="24"/>
          <w:szCs w:val="24"/>
        </w:rPr>
        <w:t>Shah S., ‘Administration of Justice’, in</w:t>
      </w:r>
      <w:proofErr w:type="spellStart"/>
      <w:r w:rsidRPr="00F93325">
        <w:rPr>
          <w:sz w:val="24"/>
          <w:szCs w:val="24"/>
          <w:lang w:val="tr-TR"/>
        </w:rPr>
        <w:t>Moeckly</w:t>
      </w:r>
      <w:proofErr w:type="spellEnd"/>
      <w:r w:rsidRPr="00F93325">
        <w:rPr>
          <w:sz w:val="24"/>
          <w:szCs w:val="24"/>
          <w:lang w:val="tr-TR"/>
        </w:rPr>
        <w:t xml:space="preserve"> D., </w:t>
      </w:r>
      <w:proofErr w:type="spellStart"/>
      <w:r w:rsidRPr="00F93325">
        <w:rPr>
          <w:sz w:val="24"/>
          <w:szCs w:val="24"/>
          <w:lang w:val="tr-TR"/>
        </w:rPr>
        <w:t>Shah</w:t>
      </w:r>
      <w:proofErr w:type="spellEnd"/>
      <w:r w:rsidRPr="00F93325">
        <w:rPr>
          <w:sz w:val="24"/>
          <w:szCs w:val="24"/>
          <w:lang w:val="tr-TR"/>
        </w:rPr>
        <w:t xml:space="preserve"> S., </w:t>
      </w:r>
      <w:proofErr w:type="spellStart"/>
      <w:r w:rsidRPr="00F93325">
        <w:rPr>
          <w:sz w:val="24"/>
          <w:szCs w:val="24"/>
          <w:lang w:val="tr-TR"/>
        </w:rPr>
        <w:t>Sivakumaran</w:t>
      </w:r>
      <w:proofErr w:type="spellEnd"/>
      <w:r w:rsidRPr="00F93325">
        <w:rPr>
          <w:sz w:val="24"/>
          <w:szCs w:val="24"/>
          <w:lang w:val="tr-TR"/>
        </w:rPr>
        <w:t xml:space="preserve"> S. (</w:t>
      </w:r>
      <w:proofErr w:type="spellStart"/>
      <w:r w:rsidRPr="00F93325">
        <w:rPr>
          <w:sz w:val="24"/>
          <w:szCs w:val="24"/>
          <w:lang w:val="tr-TR"/>
        </w:rPr>
        <w:t>ed</w:t>
      </w:r>
      <w:proofErr w:type="spellEnd"/>
      <w:r w:rsidRPr="00F93325">
        <w:rPr>
          <w:sz w:val="24"/>
          <w:szCs w:val="24"/>
          <w:lang w:val="tr-TR"/>
        </w:rPr>
        <w:t xml:space="preserve">), </w:t>
      </w:r>
      <w:r w:rsidRPr="00F93325">
        <w:rPr>
          <w:i/>
          <w:iCs/>
          <w:sz w:val="24"/>
          <w:szCs w:val="24"/>
          <w:lang w:val="tr-TR"/>
        </w:rPr>
        <w:t xml:space="preserve">International Human </w:t>
      </w:r>
      <w:proofErr w:type="spellStart"/>
      <w:r w:rsidRPr="00F93325">
        <w:rPr>
          <w:i/>
          <w:iCs/>
          <w:sz w:val="24"/>
          <w:szCs w:val="24"/>
          <w:lang w:val="tr-TR"/>
        </w:rPr>
        <w:t>RightsLaw</w:t>
      </w:r>
      <w:proofErr w:type="spellEnd"/>
      <w:r w:rsidRPr="00F93325">
        <w:rPr>
          <w:i/>
          <w:iCs/>
          <w:sz w:val="24"/>
          <w:szCs w:val="24"/>
          <w:lang w:val="tr-TR"/>
        </w:rPr>
        <w:t xml:space="preserve">, </w:t>
      </w:r>
      <w:r w:rsidRPr="00F93325">
        <w:rPr>
          <w:sz w:val="24"/>
          <w:szCs w:val="24"/>
          <w:lang w:val="tr-TR"/>
        </w:rPr>
        <w:t xml:space="preserve">(OUP 2010) </w:t>
      </w:r>
    </w:p>
    <w:p w:rsidR="00703CEE" w:rsidRPr="00F93325" w:rsidRDefault="00703CEE" w:rsidP="00F93325">
      <w:pPr>
        <w:pStyle w:val="DipnotMetni"/>
        <w:jc w:val="both"/>
        <w:rPr>
          <w:sz w:val="24"/>
          <w:szCs w:val="24"/>
          <w:lang w:val="tr-TR"/>
        </w:rPr>
      </w:pPr>
    </w:p>
    <w:p w:rsidR="00703CEE" w:rsidRPr="00C10882" w:rsidRDefault="00703CEE" w:rsidP="00F93325">
      <w:pPr>
        <w:pStyle w:val="DipnotMetni"/>
        <w:jc w:val="both"/>
        <w:rPr>
          <w:b/>
          <w:bCs/>
          <w:sz w:val="24"/>
          <w:szCs w:val="24"/>
          <w:lang w:val="tr-TR"/>
        </w:rPr>
      </w:pPr>
      <w:r w:rsidRPr="00C10882">
        <w:rPr>
          <w:b/>
          <w:bCs/>
          <w:sz w:val="24"/>
          <w:szCs w:val="24"/>
          <w:lang w:val="tr-TR"/>
        </w:rPr>
        <w:t>WEB MATERIALS</w:t>
      </w:r>
    </w:p>
    <w:p w:rsidR="00703CEE" w:rsidRPr="00F93325" w:rsidRDefault="00703CEE" w:rsidP="00F93325">
      <w:pPr>
        <w:pStyle w:val="DipnotMetni"/>
        <w:jc w:val="both"/>
        <w:rPr>
          <w:sz w:val="24"/>
          <w:szCs w:val="24"/>
          <w:lang w:val="tr-TR"/>
        </w:rPr>
      </w:pPr>
    </w:p>
    <w:p w:rsidR="00703CEE" w:rsidRPr="00F93325" w:rsidRDefault="00703CEE" w:rsidP="00F93325">
      <w:pPr>
        <w:pStyle w:val="DipnotMetni"/>
        <w:jc w:val="both"/>
        <w:rPr>
          <w:sz w:val="24"/>
          <w:szCs w:val="24"/>
          <w:lang w:val="tr-TR"/>
        </w:rPr>
      </w:pPr>
      <w:r w:rsidRPr="00F93325">
        <w:rPr>
          <w:sz w:val="24"/>
          <w:szCs w:val="24"/>
          <w:lang w:val="tr-TR"/>
        </w:rPr>
        <w:t xml:space="preserve">UN </w:t>
      </w:r>
      <w:proofErr w:type="spellStart"/>
      <w:r w:rsidRPr="00F93325">
        <w:rPr>
          <w:sz w:val="24"/>
          <w:szCs w:val="24"/>
          <w:lang w:val="tr-TR"/>
        </w:rPr>
        <w:t>Treaty</w:t>
      </w:r>
      <w:proofErr w:type="spellEnd"/>
      <w:r w:rsidRPr="00F93325">
        <w:rPr>
          <w:sz w:val="24"/>
          <w:szCs w:val="24"/>
          <w:lang w:val="tr-TR"/>
        </w:rPr>
        <w:t xml:space="preserve"> Collection Databases, </w:t>
      </w:r>
      <w:hyperlink r:id="rId7" w:history="1">
        <w:r w:rsidRPr="00F93325">
          <w:rPr>
            <w:rStyle w:val="Kpr"/>
            <w:sz w:val="24"/>
            <w:szCs w:val="24"/>
            <w:lang w:val="tr-TR"/>
          </w:rPr>
          <w:t>http://treaties.un.org/Pages/ViewDetails.aspx?src=TREATY&amp;mtdsg_no=IV-4&amp;chapter=4&amp;lang=en</w:t>
        </w:r>
      </w:hyperlink>
      <w:r w:rsidRPr="00F93325">
        <w:rPr>
          <w:sz w:val="24"/>
          <w:szCs w:val="24"/>
          <w:lang w:val="tr-TR"/>
        </w:rPr>
        <w:t>Accessed 23.05.2011</w:t>
      </w:r>
    </w:p>
    <w:p w:rsidR="00703CEE" w:rsidRPr="00F93325" w:rsidRDefault="00703CEE" w:rsidP="00F93325">
      <w:pPr>
        <w:pStyle w:val="DipnotMetni"/>
        <w:jc w:val="both"/>
        <w:rPr>
          <w:sz w:val="24"/>
          <w:szCs w:val="24"/>
          <w:lang w:val="tr-TR"/>
        </w:rPr>
      </w:pPr>
    </w:p>
    <w:p w:rsidR="00703CEE" w:rsidRPr="00F93325" w:rsidRDefault="00703CEE" w:rsidP="00F93325">
      <w:pPr>
        <w:pStyle w:val="AralkYok"/>
        <w:jc w:val="both"/>
        <w:rPr>
          <w:rFonts w:ascii="Times New Roman" w:hAnsi="Times New Roman" w:cs="Times New Roman"/>
          <w:sz w:val="24"/>
          <w:szCs w:val="24"/>
        </w:rPr>
      </w:pPr>
      <w:r w:rsidRPr="00F93325">
        <w:rPr>
          <w:rFonts w:ascii="Times New Roman" w:hAnsi="Times New Roman" w:cs="Times New Roman"/>
          <w:sz w:val="24"/>
          <w:szCs w:val="24"/>
        </w:rPr>
        <w:t>United Nations Basic Principles on the Independence of the Judiciary, (UNBPOJ) &lt;</w:t>
      </w:r>
      <w:hyperlink r:id="rId8" w:history="1">
        <w:r w:rsidRPr="00F93325">
          <w:rPr>
            <w:rStyle w:val="Kpr"/>
            <w:rFonts w:ascii="Times New Roman" w:hAnsi="Times New Roman" w:cs="Times New Roman"/>
            <w:sz w:val="24"/>
            <w:szCs w:val="24"/>
          </w:rPr>
          <w:t>http://www2.ohchr.org/english/law/indjudiciary.htm</w:t>
        </w:r>
      </w:hyperlink>
      <w:r w:rsidRPr="00F93325">
        <w:rPr>
          <w:rFonts w:ascii="Times New Roman" w:hAnsi="Times New Roman" w:cs="Times New Roman"/>
          <w:sz w:val="24"/>
          <w:szCs w:val="24"/>
        </w:rPr>
        <w:t>&gt; Accessed 28.02.2011</w:t>
      </w:r>
    </w:p>
    <w:p w:rsidR="00703CEE" w:rsidRPr="00F93325" w:rsidRDefault="00703CEE" w:rsidP="00F93325">
      <w:pPr>
        <w:autoSpaceDE w:val="0"/>
        <w:autoSpaceDN w:val="0"/>
        <w:adjustRightInd w:val="0"/>
        <w:spacing w:line="240" w:lineRule="auto"/>
        <w:jc w:val="both"/>
        <w:rPr>
          <w:rFonts w:ascii="Times New Roman" w:hAnsi="Times New Roman" w:cs="Times New Roman"/>
          <w:sz w:val="24"/>
          <w:szCs w:val="24"/>
        </w:rPr>
      </w:pPr>
    </w:p>
    <w:p w:rsidR="00703CEE" w:rsidRPr="00F93325" w:rsidRDefault="00703CEE" w:rsidP="00F93325">
      <w:pPr>
        <w:jc w:val="both"/>
        <w:rPr>
          <w:rFonts w:ascii="Times New Roman" w:hAnsi="Times New Roman" w:cs="Times New Roman"/>
          <w:sz w:val="24"/>
          <w:szCs w:val="24"/>
        </w:rPr>
      </w:pPr>
    </w:p>
    <w:sectPr w:rsidR="00703CEE" w:rsidRPr="00F93325" w:rsidSect="005178E9">
      <w:headerReference w:type="default" r:id="rId9"/>
      <w:footerReference w:type="default" r:id="rId10"/>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B8" w:rsidRDefault="00003FB8" w:rsidP="00F93325">
      <w:pPr>
        <w:spacing w:after="0" w:line="240" w:lineRule="auto"/>
      </w:pPr>
      <w:r>
        <w:separator/>
      </w:r>
    </w:p>
  </w:endnote>
  <w:endnote w:type="continuationSeparator" w:id="0">
    <w:p w:rsidR="00003FB8" w:rsidRDefault="00003FB8" w:rsidP="00F9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EE" w:rsidRPr="009764D2" w:rsidRDefault="00703CEE" w:rsidP="009764D2">
    <w:pPr>
      <w:pStyle w:val="Altbilgi"/>
      <w:jc w:val="right"/>
      <w:rPr>
        <w:lang w:val="tr-TR"/>
      </w:rPr>
    </w:pPr>
    <w:r>
      <w:rPr>
        <w:lang w:val="tr-TR"/>
      </w:rPr>
      <w:t xml:space="preserve">Human </w:t>
    </w:r>
    <w:proofErr w:type="spellStart"/>
    <w:r>
      <w:rPr>
        <w:lang w:val="tr-TR"/>
      </w:rPr>
      <w:t>Rights</w:t>
    </w:r>
    <w:proofErr w:type="spellEnd"/>
    <w:r w:rsidR="007A61F5">
      <w:rPr>
        <w:lang w:val="tr-TR"/>
      </w:rPr>
      <w:t xml:space="preserve"> </w:t>
    </w:r>
    <w:proofErr w:type="spellStart"/>
    <w:r>
      <w:rPr>
        <w:lang w:val="tr-TR"/>
      </w:rPr>
      <w:t>Rewiev</w:t>
    </w:r>
    <w:proofErr w:type="spellEnd"/>
    <w:r>
      <w:rPr>
        <w:lang w:val="tr-TR"/>
      </w:rPr>
      <w:t xml:space="preserve">, Volume: x, </w:t>
    </w:r>
    <w:proofErr w:type="spellStart"/>
    <w:r>
      <w:rPr>
        <w:lang w:val="tr-TR"/>
      </w:rPr>
      <w:t>Issue</w:t>
    </w:r>
    <w:proofErr w:type="spellEnd"/>
    <w:r>
      <w:rPr>
        <w:lang w:val="tr-TR"/>
      </w:rPr>
      <w:t>: y, z 2011-2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B8" w:rsidRDefault="00003FB8" w:rsidP="00F93325">
      <w:pPr>
        <w:spacing w:after="0" w:line="240" w:lineRule="auto"/>
      </w:pPr>
      <w:r>
        <w:separator/>
      </w:r>
    </w:p>
  </w:footnote>
  <w:footnote w:type="continuationSeparator" w:id="0">
    <w:p w:rsidR="00003FB8" w:rsidRDefault="00003FB8" w:rsidP="00F93325">
      <w:pPr>
        <w:spacing w:after="0" w:line="240" w:lineRule="auto"/>
      </w:pPr>
      <w:r>
        <w:continuationSeparator/>
      </w:r>
    </w:p>
  </w:footnote>
  <w:footnote w:id="1">
    <w:p w:rsidR="007A61F5" w:rsidRDefault="007A61F5" w:rsidP="007A61F5">
      <w:pPr>
        <w:jc w:val="both"/>
        <w:rPr>
          <w:rFonts w:ascii="Times New Roman" w:hAnsi="Times New Roman" w:cs="Times New Roman"/>
          <w:color w:val="2A2A2A"/>
          <w:sz w:val="20"/>
          <w:szCs w:val="20"/>
        </w:rPr>
      </w:pPr>
      <w:r>
        <w:rPr>
          <w:rStyle w:val="DipnotBavurusu"/>
          <w:rFonts w:ascii="Times New Roman" w:hAnsi="Times New Roman" w:cs="Times New Roman"/>
          <w:sz w:val="20"/>
          <w:szCs w:val="20"/>
        </w:rPr>
        <w:t>*</w:t>
      </w:r>
      <w:proofErr w:type="gramStart"/>
      <w:r>
        <w:rPr>
          <w:rFonts w:ascii="Times New Roman" w:hAnsi="Times New Roman" w:cs="Times New Roman"/>
          <w:color w:val="2A2A2A"/>
          <w:sz w:val="20"/>
          <w:szCs w:val="20"/>
        </w:rPr>
        <w:t>The 29</w:t>
      </w:r>
      <w:r>
        <w:rPr>
          <w:rFonts w:ascii="Times New Roman" w:hAnsi="Times New Roman" w:cs="Times New Roman"/>
          <w:color w:val="2A2A2A"/>
          <w:sz w:val="20"/>
          <w:szCs w:val="20"/>
          <w:vertAlign w:val="superscript"/>
        </w:rPr>
        <w:t>th</w:t>
      </w:r>
      <w:r>
        <w:rPr>
          <w:rFonts w:ascii="Times New Roman" w:hAnsi="Times New Roman" w:cs="Times New Roman"/>
          <w:color w:val="2A2A2A"/>
          <w:sz w:val="20"/>
          <w:szCs w:val="20"/>
        </w:rPr>
        <w:t xml:space="preserve"> Criminal Court of First Instance of İstanbul </w:t>
      </w:r>
      <w:proofErr w:type="spellStart"/>
      <w:r>
        <w:rPr>
          <w:rFonts w:ascii="Times New Roman" w:hAnsi="Times New Roman" w:cs="Times New Roman"/>
          <w:color w:val="2A2A2A"/>
          <w:sz w:val="20"/>
          <w:szCs w:val="20"/>
        </w:rPr>
        <w:t>Anadolu</w:t>
      </w:r>
      <w:proofErr w:type="spellEnd"/>
      <w:r>
        <w:rPr>
          <w:rFonts w:ascii="Times New Roman" w:hAnsi="Times New Roman" w:cs="Times New Roman"/>
          <w:color w:val="2A2A2A"/>
          <w:sz w:val="20"/>
          <w:szCs w:val="20"/>
        </w:rPr>
        <w:t xml:space="preserve"> (İstanbul </w:t>
      </w:r>
      <w:proofErr w:type="spellStart"/>
      <w:r>
        <w:rPr>
          <w:rFonts w:ascii="Times New Roman" w:hAnsi="Times New Roman" w:cs="Times New Roman"/>
          <w:color w:val="2A2A2A"/>
          <w:sz w:val="20"/>
          <w:szCs w:val="20"/>
        </w:rPr>
        <w:t>Anadolu</w:t>
      </w:r>
      <w:proofErr w:type="spellEnd"/>
      <w:r>
        <w:rPr>
          <w:rFonts w:ascii="Times New Roman" w:hAnsi="Times New Roman" w:cs="Times New Roman"/>
          <w:color w:val="2A2A2A"/>
          <w:sz w:val="20"/>
          <w:szCs w:val="20"/>
        </w:rPr>
        <w:t xml:space="preserve"> 29.</w:t>
      </w:r>
      <w:proofErr w:type="gramEnd"/>
      <w:r>
        <w:rPr>
          <w:rFonts w:ascii="Times New Roman" w:hAnsi="Times New Roman" w:cs="Times New Roman"/>
          <w:color w:val="2A2A2A"/>
          <w:sz w:val="20"/>
          <w:szCs w:val="20"/>
        </w:rPr>
        <w:t xml:space="preserve"> </w:t>
      </w:r>
      <w:proofErr w:type="spellStart"/>
      <w:r>
        <w:rPr>
          <w:rFonts w:ascii="Times New Roman" w:hAnsi="Times New Roman" w:cs="Times New Roman"/>
          <w:color w:val="2A2A2A"/>
          <w:sz w:val="20"/>
          <w:szCs w:val="20"/>
        </w:rPr>
        <w:t>Asliye</w:t>
      </w:r>
      <w:proofErr w:type="spellEnd"/>
      <w:r>
        <w:rPr>
          <w:rFonts w:ascii="Times New Roman" w:hAnsi="Times New Roman" w:cs="Times New Roman"/>
          <w:color w:val="2A2A2A"/>
          <w:sz w:val="20"/>
          <w:szCs w:val="20"/>
        </w:rPr>
        <w:t xml:space="preserve"> </w:t>
      </w:r>
      <w:proofErr w:type="spellStart"/>
      <w:r>
        <w:rPr>
          <w:rFonts w:ascii="Times New Roman" w:hAnsi="Times New Roman" w:cs="Times New Roman"/>
          <w:color w:val="2A2A2A"/>
          <w:sz w:val="20"/>
          <w:szCs w:val="20"/>
        </w:rPr>
        <w:t>Ceza</w:t>
      </w:r>
      <w:proofErr w:type="spellEnd"/>
      <w:r>
        <w:rPr>
          <w:rFonts w:ascii="Times New Roman" w:hAnsi="Times New Roman" w:cs="Times New Roman"/>
          <w:color w:val="2A2A2A"/>
          <w:sz w:val="20"/>
          <w:szCs w:val="20"/>
        </w:rPr>
        <w:t xml:space="preserve"> </w:t>
      </w:r>
      <w:proofErr w:type="spellStart"/>
      <w:r>
        <w:rPr>
          <w:rFonts w:ascii="Times New Roman" w:hAnsi="Times New Roman" w:cs="Times New Roman"/>
          <w:color w:val="2A2A2A"/>
          <w:sz w:val="20"/>
          <w:szCs w:val="20"/>
        </w:rPr>
        <w:t>Mahkemesi</w:t>
      </w:r>
      <w:proofErr w:type="spellEnd"/>
      <w:r>
        <w:rPr>
          <w:rFonts w:ascii="Times New Roman" w:hAnsi="Times New Roman" w:cs="Times New Roman"/>
          <w:color w:val="2A2A2A"/>
          <w:sz w:val="20"/>
          <w:szCs w:val="20"/>
        </w:rPr>
        <w:t xml:space="preserve"> </w:t>
      </w:r>
      <w:proofErr w:type="spellStart"/>
      <w:r>
        <w:rPr>
          <w:rFonts w:ascii="Times New Roman" w:hAnsi="Times New Roman" w:cs="Times New Roman"/>
          <w:color w:val="2A2A2A"/>
          <w:sz w:val="20"/>
          <w:szCs w:val="20"/>
        </w:rPr>
        <w:t>hakimi</w:t>
      </w:r>
      <w:proofErr w:type="spellEnd"/>
      <w:r>
        <w:rPr>
          <w:rFonts w:ascii="Times New Roman" w:hAnsi="Times New Roman" w:cs="Times New Roman"/>
          <w:color w:val="2A2A2A"/>
          <w:sz w:val="20"/>
          <w:szCs w:val="20"/>
        </w:rPr>
        <w:t xml:space="preserve">) </w:t>
      </w:r>
    </w:p>
    <w:p w:rsidR="007A61F5" w:rsidRDefault="007A61F5" w:rsidP="007A61F5">
      <w:pPr>
        <w:pStyle w:val="DipnotMetni"/>
        <w:spacing w:after="120"/>
        <w:rPr>
          <w:rFonts w:ascii="Calibri" w:hAnsi="Calibri" w:cs="Calibri"/>
        </w:rPr>
      </w:pPr>
      <w:r>
        <w:t>.</w:t>
      </w:r>
    </w:p>
  </w:footnote>
  <w:footnote w:id="2">
    <w:p w:rsidR="006D4C03" w:rsidRDefault="006D4C03" w:rsidP="006D4C03">
      <w:pPr>
        <w:jc w:val="both"/>
        <w:rPr>
          <w:rFonts w:ascii="Times New Roman" w:hAnsi="Times New Roman" w:cs="Times New Roman"/>
          <w:color w:val="2A2A2A"/>
          <w:sz w:val="20"/>
          <w:szCs w:val="20"/>
        </w:rPr>
      </w:pPr>
      <w:r>
        <w:rPr>
          <w:rStyle w:val="DipnotBavurusu"/>
          <w:rFonts w:ascii="Times New Roman" w:hAnsi="Times New Roman" w:cs="Times New Roman"/>
          <w:sz w:val="20"/>
          <w:szCs w:val="20"/>
        </w:rPr>
        <w:t>*</w:t>
      </w:r>
      <w:proofErr w:type="gramStart"/>
      <w:r>
        <w:rPr>
          <w:rFonts w:ascii="Times New Roman" w:hAnsi="Times New Roman" w:cs="Times New Roman"/>
          <w:color w:val="2A2A2A"/>
          <w:sz w:val="20"/>
          <w:szCs w:val="20"/>
        </w:rPr>
        <w:t>The 29</w:t>
      </w:r>
      <w:r>
        <w:rPr>
          <w:rFonts w:ascii="Times New Roman" w:hAnsi="Times New Roman" w:cs="Times New Roman"/>
          <w:color w:val="2A2A2A"/>
          <w:sz w:val="20"/>
          <w:szCs w:val="20"/>
          <w:vertAlign w:val="superscript"/>
        </w:rPr>
        <w:t>th</w:t>
      </w:r>
      <w:r>
        <w:rPr>
          <w:rFonts w:ascii="Times New Roman" w:hAnsi="Times New Roman" w:cs="Times New Roman"/>
          <w:color w:val="2A2A2A"/>
          <w:sz w:val="20"/>
          <w:szCs w:val="20"/>
        </w:rPr>
        <w:t xml:space="preserve"> Criminal Court of First Instance of İstanbul </w:t>
      </w:r>
      <w:proofErr w:type="spellStart"/>
      <w:r>
        <w:rPr>
          <w:rFonts w:ascii="Times New Roman" w:hAnsi="Times New Roman" w:cs="Times New Roman"/>
          <w:color w:val="2A2A2A"/>
          <w:sz w:val="20"/>
          <w:szCs w:val="20"/>
        </w:rPr>
        <w:t>Anadolu</w:t>
      </w:r>
      <w:proofErr w:type="spellEnd"/>
      <w:r>
        <w:rPr>
          <w:rFonts w:ascii="Times New Roman" w:hAnsi="Times New Roman" w:cs="Times New Roman"/>
          <w:color w:val="2A2A2A"/>
          <w:sz w:val="20"/>
          <w:szCs w:val="20"/>
        </w:rPr>
        <w:t xml:space="preserve"> (İstanbul </w:t>
      </w:r>
      <w:proofErr w:type="spellStart"/>
      <w:r>
        <w:rPr>
          <w:rFonts w:ascii="Times New Roman" w:hAnsi="Times New Roman" w:cs="Times New Roman"/>
          <w:color w:val="2A2A2A"/>
          <w:sz w:val="20"/>
          <w:szCs w:val="20"/>
        </w:rPr>
        <w:t>Anadolu</w:t>
      </w:r>
      <w:proofErr w:type="spellEnd"/>
      <w:r>
        <w:rPr>
          <w:rFonts w:ascii="Times New Roman" w:hAnsi="Times New Roman" w:cs="Times New Roman"/>
          <w:color w:val="2A2A2A"/>
          <w:sz w:val="20"/>
          <w:szCs w:val="20"/>
        </w:rPr>
        <w:t xml:space="preserve"> 29.</w:t>
      </w:r>
      <w:proofErr w:type="gramEnd"/>
      <w:r>
        <w:rPr>
          <w:rFonts w:ascii="Times New Roman" w:hAnsi="Times New Roman" w:cs="Times New Roman"/>
          <w:color w:val="2A2A2A"/>
          <w:sz w:val="20"/>
          <w:szCs w:val="20"/>
        </w:rPr>
        <w:t xml:space="preserve"> </w:t>
      </w:r>
      <w:proofErr w:type="spellStart"/>
      <w:r>
        <w:rPr>
          <w:rFonts w:ascii="Times New Roman" w:hAnsi="Times New Roman" w:cs="Times New Roman"/>
          <w:color w:val="2A2A2A"/>
          <w:sz w:val="20"/>
          <w:szCs w:val="20"/>
        </w:rPr>
        <w:t>Asliye</w:t>
      </w:r>
      <w:proofErr w:type="spellEnd"/>
      <w:r>
        <w:rPr>
          <w:rFonts w:ascii="Times New Roman" w:hAnsi="Times New Roman" w:cs="Times New Roman"/>
          <w:color w:val="2A2A2A"/>
          <w:sz w:val="20"/>
          <w:szCs w:val="20"/>
        </w:rPr>
        <w:t xml:space="preserve"> </w:t>
      </w:r>
      <w:proofErr w:type="spellStart"/>
      <w:r>
        <w:rPr>
          <w:rFonts w:ascii="Times New Roman" w:hAnsi="Times New Roman" w:cs="Times New Roman"/>
          <w:color w:val="2A2A2A"/>
          <w:sz w:val="20"/>
          <w:szCs w:val="20"/>
        </w:rPr>
        <w:t>Ceza</w:t>
      </w:r>
      <w:proofErr w:type="spellEnd"/>
      <w:r>
        <w:rPr>
          <w:rFonts w:ascii="Times New Roman" w:hAnsi="Times New Roman" w:cs="Times New Roman"/>
          <w:color w:val="2A2A2A"/>
          <w:sz w:val="20"/>
          <w:szCs w:val="20"/>
        </w:rPr>
        <w:t xml:space="preserve"> </w:t>
      </w:r>
      <w:proofErr w:type="spellStart"/>
      <w:r>
        <w:rPr>
          <w:rFonts w:ascii="Times New Roman" w:hAnsi="Times New Roman" w:cs="Times New Roman"/>
          <w:color w:val="2A2A2A"/>
          <w:sz w:val="20"/>
          <w:szCs w:val="20"/>
        </w:rPr>
        <w:t>Mahkemesi</w:t>
      </w:r>
      <w:proofErr w:type="spellEnd"/>
      <w:r>
        <w:rPr>
          <w:rFonts w:ascii="Times New Roman" w:hAnsi="Times New Roman" w:cs="Times New Roman"/>
          <w:color w:val="2A2A2A"/>
          <w:sz w:val="20"/>
          <w:szCs w:val="20"/>
        </w:rPr>
        <w:t xml:space="preserve"> </w:t>
      </w:r>
      <w:proofErr w:type="spellStart"/>
      <w:r>
        <w:rPr>
          <w:rFonts w:ascii="Times New Roman" w:hAnsi="Times New Roman" w:cs="Times New Roman"/>
          <w:color w:val="2A2A2A"/>
          <w:sz w:val="20"/>
          <w:szCs w:val="20"/>
        </w:rPr>
        <w:t>hakimi</w:t>
      </w:r>
      <w:proofErr w:type="spellEnd"/>
      <w:r>
        <w:rPr>
          <w:rFonts w:ascii="Times New Roman" w:hAnsi="Times New Roman" w:cs="Times New Roman"/>
          <w:color w:val="2A2A2A"/>
          <w:sz w:val="20"/>
          <w:szCs w:val="20"/>
        </w:rPr>
        <w:t xml:space="preserve">) </w:t>
      </w:r>
    </w:p>
    <w:p w:rsidR="006D4C03" w:rsidRDefault="006D4C03" w:rsidP="006D4C03">
      <w:pPr>
        <w:pStyle w:val="DipnotMetni"/>
        <w:spacing w:after="120"/>
        <w:rPr>
          <w:rFonts w:ascii="Calibri" w:hAnsi="Calibri" w:cs="Calibri"/>
        </w:rPr>
      </w:pPr>
      <w:r>
        <w:t>.</w:t>
      </w:r>
    </w:p>
  </w:footnote>
  <w:footnote w:id="3">
    <w:p w:rsidR="00703CEE" w:rsidRDefault="00703CEE" w:rsidP="00F93325">
      <w:pPr>
        <w:pStyle w:val="DipnotMetni"/>
      </w:pPr>
      <w:r w:rsidRPr="00F93325">
        <w:rPr>
          <w:rStyle w:val="DipnotBavurusu"/>
        </w:rPr>
        <w:footnoteRef/>
      </w:r>
      <w:r w:rsidRPr="00F93325">
        <w:t xml:space="preserve"> Charter of the United Nations, A</w:t>
      </w:r>
      <w:proofErr w:type="spellStart"/>
      <w:r w:rsidRPr="00F93325">
        <w:rPr>
          <w:lang w:val="tr-TR"/>
        </w:rPr>
        <w:t>dopted</w:t>
      </w:r>
      <w:proofErr w:type="spellEnd"/>
      <w:r w:rsidRPr="00F93325">
        <w:rPr>
          <w:lang w:val="tr-TR"/>
        </w:rPr>
        <w:t xml:space="preserve"> on </w:t>
      </w:r>
      <w:proofErr w:type="spellStart"/>
      <w:r w:rsidRPr="00F93325">
        <w:rPr>
          <w:lang w:val="tr-TR"/>
        </w:rPr>
        <w:t>June</w:t>
      </w:r>
      <w:proofErr w:type="spellEnd"/>
      <w:r w:rsidRPr="00F93325">
        <w:rPr>
          <w:lang w:val="tr-TR"/>
        </w:rPr>
        <w:t xml:space="preserve"> 26, 1945, </w:t>
      </w:r>
      <w:proofErr w:type="spellStart"/>
      <w:r w:rsidRPr="00F93325">
        <w:rPr>
          <w:lang w:val="tr-TR"/>
        </w:rPr>
        <w:t>enteredinto</w:t>
      </w:r>
      <w:proofErr w:type="spellEnd"/>
      <w:r w:rsidRPr="00F93325">
        <w:rPr>
          <w:lang w:val="tr-TR"/>
        </w:rPr>
        <w:t xml:space="preserve"> force24 </w:t>
      </w:r>
      <w:proofErr w:type="spellStart"/>
      <w:r w:rsidRPr="00F93325">
        <w:rPr>
          <w:lang w:val="tr-TR"/>
        </w:rPr>
        <w:t>October</w:t>
      </w:r>
      <w:proofErr w:type="spellEnd"/>
      <w:r w:rsidRPr="00F93325">
        <w:rPr>
          <w:lang w:val="tr-TR"/>
        </w:rPr>
        <w:t xml:space="preserve"> 1945, </w:t>
      </w:r>
      <w:r w:rsidRPr="00F93325">
        <w:t>1 UNTS XVI, hereinafter “the Charter”.</w:t>
      </w:r>
    </w:p>
  </w:footnote>
  <w:footnote w:id="4">
    <w:p w:rsidR="00703CEE" w:rsidRDefault="00703CEE" w:rsidP="00F93325">
      <w:pPr>
        <w:pStyle w:val="DipnotMetni"/>
      </w:pPr>
      <w:r w:rsidRPr="00F93325">
        <w:rPr>
          <w:rStyle w:val="DipnotBavurusu"/>
        </w:rPr>
        <w:footnoteRef/>
      </w:r>
      <w:r w:rsidRPr="00F93325">
        <w:t xml:space="preserve"> A</w:t>
      </w:r>
      <w:proofErr w:type="spellStart"/>
      <w:r w:rsidRPr="00F93325">
        <w:rPr>
          <w:lang w:val="tr-TR"/>
        </w:rPr>
        <w:t>dopted</w:t>
      </w:r>
      <w:proofErr w:type="spellEnd"/>
      <w:r w:rsidRPr="00F93325">
        <w:rPr>
          <w:lang w:val="tr-TR"/>
        </w:rPr>
        <w:t xml:space="preserve"> on </w:t>
      </w:r>
      <w:proofErr w:type="spellStart"/>
      <w:r w:rsidRPr="00F93325">
        <w:rPr>
          <w:lang w:val="tr-TR"/>
        </w:rPr>
        <w:t>June</w:t>
      </w:r>
      <w:proofErr w:type="spellEnd"/>
      <w:r w:rsidRPr="00F93325">
        <w:rPr>
          <w:lang w:val="tr-TR"/>
        </w:rPr>
        <w:t xml:space="preserve"> 26, 1945, </w:t>
      </w:r>
      <w:proofErr w:type="spellStart"/>
      <w:r w:rsidRPr="00F93325">
        <w:rPr>
          <w:lang w:val="tr-TR"/>
        </w:rPr>
        <w:t>enteredinto</w:t>
      </w:r>
      <w:proofErr w:type="spellEnd"/>
      <w:r w:rsidRPr="00F93325">
        <w:rPr>
          <w:lang w:val="tr-TR"/>
        </w:rPr>
        <w:t xml:space="preserve"> force24 </w:t>
      </w:r>
      <w:proofErr w:type="spellStart"/>
      <w:r w:rsidRPr="00F93325">
        <w:rPr>
          <w:lang w:val="tr-TR"/>
        </w:rPr>
        <w:t>October</w:t>
      </w:r>
      <w:proofErr w:type="spellEnd"/>
      <w:r w:rsidRPr="00F93325">
        <w:rPr>
          <w:lang w:val="tr-TR"/>
        </w:rPr>
        <w:t xml:space="preserve"> 1945, </w:t>
      </w:r>
      <w:r w:rsidRPr="00F93325">
        <w:t>1 UNTS XVI</w:t>
      </w:r>
    </w:p>
  </w:footnote>
  <w:footnote w:id="5">
    <w:p w:rsidR="00703CEE" w:rsidRDefault="00703CEE" w:rsidP="00F93325">
      <w:pPr>
        <w:pStyle w:val="DipnotMetni"/>
      </w:pPr>
      <w:r w:rsidRPr="00F93325">
        <w:rPr>
          <w:rStyle w:val="DipnotBavurusu"/>
        </w:rPr>
        <w:footnoteRef/>
      </w:r>
      <w:r w:rsidRPr="00F93325">
        <w:t xml:space="preserve"> Hugh </w:t>
      </w:r>
      <w:proofErr w:type="spellStart"/>
      <w:r w:rsidRPr="00F93325">
        <w:t>Thirlway</w:t>
      </w:r>
      <w:proofErr w:type="spellEnd"/>
      <w:r w:rsidRPr="00F93325">
        <w:t xml:space="preserve">, ‘The sources of International Law’ in </w:t>
      </w:r>
      <w:proofErr w:type="spellStart"/>
      <w:r w:rsidRPr="00F93325">
        <w:rPr>
          <w:lang w:val="tr-TR"/>
        </w:rPr>
        <w:t>MalcolmEvans</w:t>
      </w:r>
      <w:proofErr w:type="spellEnd"/>
      <w:r w:rsidRPr="00F93325">
        <w:rPr>
          <w:lang w:val="tr-TR"/>
        </w:rPr>
        <w:t xml:space="preserve">, </w:t>
      </w:r>
      <w:r w:rsidRPr="00F93325">
        <w:rPr>
          <w:i/>
          <w:iCs/>
          <w:lang w:val="tr-TR"/>
        </w:rPr>
        <w:t xml:space="preserve">International </w:t>
      </w:r>
      <w:proofErr w:type="spellStart"/>
      <w:r w:rsidRPr="00F93325">
        <w:rPr>
          <w:i/>
          <w:iCs/>
          <w:lang w:val="tr-TR"/>
        </w:rPr>
        <w:t>Law</w:t>
      </w:r>
      <w:proofErr w:type="spellEnd"/>
      <w:r w:rsidRPr="00F93325">
        <w:rPr>
          <w:i/>
          <w:iCs/>
          <w:lang w:val="tr-TR"/>
        </w:rPr>
        <w:t>,</w:t>
      </w:r>
      <w:r w:rsidRPr="00F93325">
        <w:rPr>
          <w:lang w:val="tr-TR"/>
        </w:rPr>
        <w:t xml:space="preserve">(2nd </w:t>
      </w:r>
      <w:proofErr w:type="spellStart"/>
      <w:r w:rsidRPr="00F93325">
        <w:rPr>
          <w:lang w:val="tr-TR"/>
        </w:rPr>
        <w:t>edn</w:t>
      </w:r>
      <w:proofErr w:type="spellEnd"/>
      <w:r w:rsidRPr="00F93325">
        <w:rPr>
          <w:lang w:val="tr-TR"/>
        </w:rPr>
        <w:t>, 2010 OUP) 133</w:t>
      </w:r>
    </w:p>
  </w:footnote>
  <w:footnote w:id="6">
    <w:p w:rsidR="00703CEE" w:rsidRDefault="00703CEE" w:rsidP="00F93325">
      <w:pPr>
        <w:spacing w:after="0" w:line="240" w:lineRule="auto"/>
      </w:pPr>
      <w:r w:rsidRPr="00F93325">
        <w:rPr>
          <w:rStyle w:val="DipnotBavurusu"/>
          <w:rFonts w:ascii="Times New Roman" w:hAnsi="Times New Roman" w:cs="Times New Roman"/>
          <w:sz w:val="20"/>
          <w:szCs w:val="20"/>
        </w:rPr>
        <w:footnoteRef/>
      </w:r>
      <w:r w:rsidRPr="00F93325">
        <w:rPr>
          <w:rFonts w:ascii="Times New Roman" w:hAnsi="Times New Roman" w:cs="Times New Roman"/>
          <w:sz w:val="20"/>
          <w:szCs w:val="20"/>
        </w:rPr>
        <w:t xml:space="preserve"> Bing </w:t>
      </w:r>
      <w:proofErr w:type="spellStart"/>
      <w:r w:rsidRPr="00F93325">
        <w:rPr>
          <w:rFonts w:ascii="Times New Roman" w:hAnsi="Times New Roman" w:cs="Times New Roman"/>
          <w:sz w:val="20"/>
          <w:szCs w:val="20"/>
        </w:rPr>
        <w:t>BingJia</w:t>
      </w:r>
      <w:proofErr w:type="spellEnd"/>
      <w:r w:rsidRPr="00F93325">
        <w:rPr>
          <w:rFonts w:ascii="Times New Roman" w:hAnsi="Times New Roman" w:cs="Times New Roman"/>
          <w:sz w:val="20"/>
          <w:szCs w:val="20"/>
        </w:rPr>
        <w:t>, ‘The Relations between Treaties and Custom’ (2010) 9 Chinese JIL 84</w:t>
      </w:r>
    </w:p>
  </w:footnote>
  <w:footnote w:id="7">
    <w:p w:rsidR="00703CEE" w:rsidRPr="00F93325" w:rsidRDefault="00703CEE" w:rsidP="00F93325">
      <w:pPr>
        <w:pStyle w:val="DipnotMetni"/>
      </w:pPr>
      <w:r w:rsidRPr="00F93325">
        <w:rPr>
          <w:rStyle w:val="DipnotBavurusu"/>
        </w:rPr>
        <w:footnoteRef/>
      </w:r>
      <w:proofErr w:type="gramStart"/>
      <w:r w:rsidRPr="00F93325">
        <w:t xml:space="preserve">Article 53 of Vienna Convention on the Law of Treaties, </w:t>
      </w:r>
      <w:r w:rsidRPr="00F93325">
        <w:rPr>
          <w:lang w:val="tr-TR"/>
        </w:rPr>
        <w:t>23 May 1969, (1969) 155 UNTS 331</w:t>
      </w:r>
      <w:r w:rsidRPr="00F93325">
        <w:t>.</w:t>
      </w:r>
      <w:proofErr w:type="gramEnd"/>
    </w:p>
    <w:p w:rsidR="00703CEE" w:rsidRPr="00F93325" w:rsidRDefault="00703CEE" w:rsidP="00F93325">
      <w:pPr>
        <w:pStyle w:val="DipnotMetni"/>
      </w:pPr>
    </w:p>
    <w:p w:rsidR="00703CEE" w:rsidRDefault="00703CEE" w:rsidP="00F93325">
      <w:pPr>
        <w:pStyle w:val="DipnotMetni"/>
      </w:pPr>
      <w:r w:rsidRPr="00F93325">
        <w:tab/>
      </w:r>
      <w:r w:rsidRPr="00F93325">
        <w:tab/>
      </w:r>
      <w:r w:rsidRPr="00F93325">
        <w:tab/>
      </w:r>
      <w:r w:rsidRPr="00F93325">
        <w:tab/>
      </w:r>
      <w:r w:rsidRPr="00F93325">
        <w:tab/>
      </w:r>
      <w:r w:rsidRPr="00F93325">
        <w:tab/>
      </w:r>
      <w:r w:rsidRPr="00F93325">
        <w:tab/>
      </w:r>
      <w:r w:rsidRPr="00F93325">
        <w:tab/>
      </w:r>
      <w:r w:rsidRPr="00F93325">
        <w:tab/>
      </w:r>
      <w:r w:rsidRPr="00F93325">
        <w:tab/>
      </w:r>
      <w:r w:rsidRPr="00F93325">
        <w:tab/>
      </w:r>
      <w:r w:rsidRPr="00F93325">
        <w:tab/>
      </w:r>
    </w:p>
  </w:footnote>
  <w:footnote w:id="8">
    <w:p w:rsidR="00703CEE" w:rsidRDefault="00703CEE" w:rsidP="00F93325">
      <w:pPr>
        <w:pStyle w:val="DipnotMetni"/>
      </w:pPr>
      <w:r w:rsidRPr="00F93325">
        <w:rPr>
          <w:rStyle w:val="DipnotBavurusu"/>
        </w:rPr>
        <w:footnoteRef/>
      </w:r>
      <w:r w:rsidRPr="00F93325">
        <w:t xml:space="preserve"> Christine </w:t>
      </w:r>
      <w:proofErr w:type="spellStart"/>
      <w:r w:rsidRPr="00F93325">
        <w:t>Chinkine</w:t>
      </w:r>
      <w:proofErr w:type="spellEnd"/>
      <w:r w:rsidRPr="00F93325">
        <w:t xml:space="preserve">, ‘Sources’, in </w:t>
      </w:r>
      <w:r w:rsidRPr="00F93325">
        <w:rPr>
          <w:lang w:val="tr-TR"/>
        </w:rPr>
        <w:t xml:space="preserve">Daniel </w:t>
      </w:r>
      <w:proofErr w:type="spellStart"/>
      <w:r w:rsidRPr="00F93325">
        <w:rPr>
          <w:lang w:val="tr-TR"/>
        </w:rPr>
        <w:t>Moeckly</w:t>
      </w:r>
      <w:proofErr w:type="spellEnd"/>
      <w:r w:rsidRPr="00F93325">
        <w:rPr>
          <w:lang w:val="tr-TR"/>
        </w:rPr>
        <w:t xml:space="preserve">, </w:t>
      </w:r>
      <w:proofErr w:type="spellStart"/>
      <w:r w:rsidRPr="00F93325">
        <w:rPr>
          <w:lang w:val="tr-TR"/>
        </w:rPr>
        <w:t>SangeetaShah</w:t>
      </w:r>
      <w:proofErr w:type="spellEnd"/>
      <w:r w:rsidRPr="00F93325">
        <w:rPr>
          <w:lang w:val="tr-TR"/>
        </w:rPr>
        <w:t xml:space="preserve">, </w:t>
      </w:r>
      <w:proofErr w:type="spellStart"/>
      <w:r w:rsidRPr="00F93325">
        <w:rPr>
          <w:lang w:val="tr-TR"/>
        </w:rPr>
        <w:t>SandeshSivakumaran</w:t>
      </w:r>
      <w:proofErr w:type="spellEnd"/>
      <w:r w:rsidRPr="00F93325">
        <w:rPr>
          <w:lang w:val="tr-TR"/>
        </w:rPr>
        <w:t xml:space="preserve"> (</w:t>
      </w:r>
      <w:proofErr w:type="spellStart"/>
      <w:r w:rsidRPr="00F93325">
        <w:rPr>
          <w:lang w:val="tr-TR"/>
        </w:rPr>
        <w:t>ed</w:t>
      </w:r>
      <w:proofErr w:type="spellEnd"/>
      <w:r w:rsidRPr="00F93325">
        <w:rPr>
          <w:lang w:val="tr-TR"/>
        </w:rPr>
        <w:t xml:space="preserve">), </w:t>
      </w:r>
      <w:r w:rsidRPr="00F93325">
        <w:rPr>
          <w:i/>
          <w:iCs/>
          <w:lang w:val="tr-TR"/>
        </w:rPr>
        <w:t xml:space="preserve">International Human </w:t>
      </w:r>
      <w:proofErr w:type="spellStart"/>
      <w:r w:rsidRPr="00F93325">
        <w:rPr>
          <w:i/>
          <w:iCs/>
          <w:lang w:val="tr-TR"/>
        </w:rPr>
        <w:t>RightsLaw</w:t>
      </w:r>
      <w:proofErr w:type="spellEnd"/>
      <w:r w:rsidRPr="00F93325">
        <w:rPr>
          <w:i/>
          <w:iCs/>
          <w:lang w:val="tr-TR"/>
        </w:rPr>
        <w:t xml:space="preserve">, </w:t>
      </w:r>
      <w:r w:rsidRPr="00F93325">
        <w:rPr>
          <w:lang w:val="tr-TR"/>
        </w:rPr>
        <w:t xml:space="preserve">(OUP 2010) </w:t>
      </w:r>
      <w:proofErr w:type="spellStart"/>
      <w:r w:rsidRPr="00F93325">
        <w:rPr>
          <w:lang w:val="tr-TR"/>
        </w:rPr>
        <w:t>chapter</w:t>
      </w:r>
      <w:proofErr w:type="spellEnd"/>
      <w:r w:rsidRPr="00F93325">
        <w:rPr>
          <w:lang w:val="tr-TR"/>
        </w:rPr>
        <w:t xml:space="preserve"> 5 119-120</w:t>
      </w:r>
    </w:p>
  </w:footnote>
  <w:footnote w:id="9">
    <w:p w:rsidR="00703CEE" w:rsidRDefault="00703CEE" w:rsidP="00F93325">
      <w:pPr>
        <w:pStyle w:val="AralkYok"/>
      </w:pPr>
      <w:r w:rsidRPr="00F93325">
        <w:rPr>
          <w:rStyle w:val="DipnotBavurusu"/>
          <w:rFonts w:ascii="Times New Roman" w:hAnsi="Times New Roman" w:cs="Times New Roman"/>
          <w:sz w:val="20"/>
          <w:szCs w:val="20"/>
        </w:rPr>
        <w:footnoteRef/>
      </w:r>
      <w:proofErr w:type="spellStart"/>
      <w:r w:rsidRPr="00F93325">
        <w:rPr>
          <w:rFonts w:ascii="Times New Roman" w:hAnsi="Times New Roman" w:cs="Times New Roman"/>
          <w:sz w:val="20"/>
          <w:szCs w:val="20"/>
          <w:lang w:val="tr-TR"/>
        </w:rPr>
        <w:t>Ibid</w:t>
      </w:r>
      <w:proofErr w:type="spellEnd"/>
      <w:r w:rsidRPr="00F93325">
        <w:rPr>
          <w:rFonts w:ascii="Times New Roman" w:hAnsi="Times New Roman" w:cs="Times New Roman"/>
          <w:sz w:val="20"/>
          <w:szCs w:val="20"/>
          <w:lang w:val="tr-TR"/>
        </w:rPr>
        <w:t xml:space="preserve"> 105</w:t>
      </w:r>
    </w:p>
  </w:footnote>
  <w:footnote w:id="10">
    <w:p w:rsidR="00703CEE" w:rsidRDefault="00703CEE" w:rsidP="00F93325">
      <w:pPr>
        <w:pStyle w:val="DipnotMetni"/>
      </w:pPr>
      <w:r w:rsidRPr="00F93325">
        <w:rPr>
          <w:rStyle w:val="DipnotBavurusu"/>
        </w:rPr>
        <w:footnoteRef/>
      </w:r>
      <w:r w:rsidRPr="00F93325">
        <w:t xml:space="preserve"> Olivier De </w:t>
      </w:r>
      <w:proofErr w:type="spellStart"/>
      <w:r w:rsidRPr="00F93325">
        <w:t>Schutter</w:t>
      </w:r>
      <w:proofErr w:type="spellEnd"/>
      <w:r w:rsidRPr="00F93325">
        <w:t xml:space="preserve">, </w:t>
      </w:r>
      <w:r w:rsidRPr="00F93325">
        <w:rPr>
          <w:i/>
          <w:iCs/>
        </w:rPr>
        <w:t>International Human Rights Law,(</w:t>
      </w:r>
      <w:r w:rsidRPr="00F93325">
        <w:t>2010 CUP) 16</w:t>
      </w:r>
    </w:p>
  </w:footnote>
  <w:footnote w:id="11">
    <w:p w:rsidR="00703CEE" w:rsidRDefault="00703CEE" w:rsidP="00F93325">
      <w:pPr>
        <w:pStyle w:val="AralkYok"/>
      </w:pPr>
      <w:r w:rsidRPr="00F93325">
        <w:rPr>
          <w:rStyle w:val="DipnotBavurusu"/>
          <w:rFonts w:ascii="Times New Roman" w:hAnsi="Times New Roman" w:cs="Times New Roman"/>
          <w:sz w:val="20"/>
          <w:szCs w:val="20"/>
        </w:rPr>
        <w:footnoteRef/>
      </w:r>
      <w:r w:rsidRPr="00F93325">
        <w:rPr>
          <w:rFonts w:ascii="Times New Roman" w:hAnsi="Times New Roman" w:cs="Times New Roman"/>
          <w:sz w:val="20"/>
          <w:szCs w:val="20"/>
        </w:rPr>
        <w:t xml:space="preserve"> International Covenant on Civil and Political Rights, adopted on December 16, 1966, </w:t>
      </w:r>
      <w:r w:rsidRPr="00F93325">
        <w:rPr>
          <w:rFonts w:ascii="Times New Roman" w:hAnsi="Times New Roman" w:cs="Times New Roman"/>
          <w:i/>
          <w:iCs/>
          <w:sz w:val="20"/>
          <w:szCs w:val="20"/>
        </w:rPr>
        <w:t>entered into force</w:t>
      </w:r>
      <w:r w:rsidRPr="00F93325">
        <w:rPr>
          <w:rFonts w:ascii="Times New Roman" w:hAnsi="Times New Roman" w:cs="Times New Roman"/>
          <w:sz w:val="20"/>
          <w:szCs w:val="20"/>
        </w:rPr>
        <w:t xml:space="preserve"> March 23, 1976, 999 U.N.T.S. 171</w:t>
      </w:r>
    </w:p>
  </w:footnote>
  <w:footnote w:id="12">
    <w:p w:rsidR="00703CEE" w:rsidRDefault="00703CEE" w:rsidP="00F93325">
      <w:pPr>
        <w:pStyle w:val="DipnotMetni"/>
      </w:pPr>
      <w:r w:rsidRPr="00F93325">
        <w:rPr>
          <w:rStyle w:val="DipnotBavurusu"/>
        </w:rPr>
        <w:footnoteRef/>
      </w:r>
      <w:proofErr w:type="spellStart"/>
      <w:r w:rsidRPr="00F93325">
        <w:rPr>
          <w:lang w:val="tr-TR"/>
        </w:rPr>
        <w:t>SeeArticle</w:t>
      </w:r>
      <w:proofErr w:type="spellEnd"/>
      <w:r w:rsidRPr="00F93325">
        <w:rPr>
          <w:lang w:val="tr-TR"/>
        </w:rPr>
        <w:t xml:space="preserve"> 28 of ICCPR.</w:t>
      </w:r>
    </w:p>
  </w:footnote>
  <w:footnote w:id="13">
    <w:p w:rsidR="00703CEE" w:rsidRDefault="00703CEE" w:rsidP="00F93325">
      <w:pPr>
        <w:pStyle w:val="AralkYok"/>
      </w:pPr>
      <w:r w:rsidRPr="00F93325">
        <w:rPr>
          <w:rStyle w:val="DipnotBavurusu"/>
          <w:rFonts w:ascii="Times New Roman" w:hAnsi="Times New Roman" w:cs="Times New Roman"/>
          <w:sz w:val="20"/>
          <w:szCs w:val="20"/>
        </w:rPr>
        <w:footnoteRef/>
      </w:r>
      <w:proofErr w:type="spellStart"/>
      <w:r w:rsidRPr="00F93325">
        <w:rPr>
          <w:rFonts w:ascii="Times New Roman" w:hAnsi="Times New Roman" w:cs="Times New Roman"/>
          <w:sz w:val="20"/>
          <w:szCs w:val="20"/>
        </w:rPr>
        <w:t>MakauMutua</w:t>
      </w:r>
      <w:proofErr w:type="spellEnd"/>
      <w:r w:rsidRPr="00F93325">
        <w:rPr>
          <w:rFonts w:ascii="Times New Roman" w:hAnsi="Times New Roman" w:cs="Times New Roman"/>
          <w:sz w:val="20"/>
          <w:szCs w:val="20"/>
        </w:rPr>
        <w:t>, ‘Standard Setting in Human Rights: Critique and Prognosis’(2007) 29 HRQ 615</w:t>
      </w:r>
    </w:p>
  </w:footnote>
  <w:footnote w:id="14">
    <w:p w:rsidR="00703CEE" w:rsidRDefault="00703CEE" w:rsidP="00F93325">
      <w:pPr>
        <w:pStyle w:val="DipnotMetni"/>
      </w:pPr>
      <w:r w:rsidRPr="00F93325">
        <w:rPr>
          <w:rStyle w:val="DipnotBavurusu"/>
        </w:rPr>
        <w:footnoteRef/>
      </w:r>
      <w:proofErr w:type="spellStart"/>
      <w:r w:rsidRPr="00F93325">
        <w:rPr>
          <w:lang w:val="tr-TR"/>
        </w:rPr>
        <w:t>Amnesty</w:t>
      </w:r>
      <w:proofErr w:type="spellEnd"/>
      <w:r w:rsidRPr="00F93325">
        <w:rPr>
          <w:lang w:val="tr-TR"/>
        </w:rPr>
        <w:t xml:space="preserve"> International, </w:t>
      </w:r>
      <w:proofErr w:type="spellStart"/>
      <w:r w:rsidRPr="00F93325">
        <w:rPr>
          <w:i/>
          <w:iCs/>
          <w:lang w:val="tr-TR"/>
        </w:rPr>
        <w:t>Fair</w:t>
      </w:r>
      <w:proofErr w:type="spellEnd"/>
      <w:r w:rsidRPr="00F93325">
        <w:rPr>
          <w:i/>
          <w:iCs/>
          <w:lang w:val="tr-TR"/>
        </w:rPr>
        <w:t xml:space="preserve"> Trial Manual</w:t>
      </w:r>
      <w:r w:rsidRPr="00F93325">
        <w:rPr>
          <w:lang w:val="tr-TR"/>
        </w:rPr>
        <w:t>, (</w:t>
      </w:r>
      <w:r w:rsidRPr="00F93325">
        <w:t>Amnesty International Publications 1998) 26</w:t>
      </w:r>
    </w:p>
  </w:footnote>
  <w:footnote w:id="15">
    <w:p w:rsidR="00703CEE" w:rsidRDefault="00703CEE" w:rsidP="00F93325">
      <w:pPr>
        <w:pStyle w:val="DipnotMetni"/>
      </w:pPr>
      <w:r w:rsidRPr="00F93325">
        <w:rPr>
          <w:rStyle w:val="DipnotBavurusu"/>
        </w:rPr>
        <w:footnoteRef/>
      </w:r>
      <w:proofErr w:type="spellStart"/>
      <w:r w:rsidRPr="00F93325">
        <w:rPr>
          <w:lang w:val="tr-TR"/>
        </w:rPr>
        <w:t>Foti</w:t>
      </w:r>
      <w:proofErr w:type="spellEnd"/>
      <w:r w:rsidRPr="00F93325">
        <w:rPr>
          <w:lang w:val="tr-TR"/>
        </w:rPr>
        <w:t xml:space="preserve"> v </w:t>
      </w:r>
      <w:proofErr w:type="spellStart"/>
      <w:r w:rsidRPr="00F93325">
        <w:rPr>
          <w:lang w:val="tr-TR"/>
        </w:rPr>
        <w:t>Italy</w:t>
      </w:r>
      <w:proofErr w:type="spellEnd"/>
      <w:r w:rsidRPr="00F93325">
        <w:rPr>
          <w:lang w:val="tr-TR"/>
        </w:rPr>
        <w:t xml:space="preserve">, 1983 5 EHRR 325-326, para. 52, </w:t>
      </w:r>
      <w:proofErr w:type="spellStart"/>
      <w:r w:rsidRPr="00F93325">
        <w:rPr>
          <w:lang w:val="tr-TR"/>
        </w:rPr>
        <w:t>Funke</w:t>
      </w:r>
      <w:proofErr w:type="spellEnd"/>
      <w:r w:rsidRPr="00F93325">
        <w:rPr>
          <w:lang w:val="tr-TR"/>
        </w:rPr>
        <w:t xml:space="preserve"> v France, </w:t>
      </w:r>
      <w:r w:rsidRPr="000F7AD1">
        <w:rPr>
          <w:lang w:val="fr-FR"/>
        </w:rPr>
        <w:t xml:space="preserve">(1993) 16 E.H.R.R. 314, paras. </w:t>
      </w:r>
      <w:r w:rsidRPr="00F93325">
        <w:t>60,72</w:t>
      </w:r>
    </w:p>
  </w:footnote>
  <w:footnote w:id="16">
    <w:p w:rsidR="00703CEE" w:rsidRDefault="00703CEE" w:rsidP="00F93325">
      <w:pPr>
        <w:pStyle w:val="DipnotMetni"/>
      </w:pPr>
      <w:r w:rsidRPr="00F93325">
        <w:rPr>
          <w:rStyle w:val="DipnotBavurusu"/>
        </w:rPr>
        <w:footnoteRef/>
      </w:r>
      <w:r w:rsidRPr="00F93325">
        <w:t xml:space="preserve"> HRC GC No: 32, </w:t>
      </w:r>
      <w:r w:rsidRPr="00F93325">
        <w:rPr>
          <w:lang w:val="tr-TR"/>
        </w:rPr>
        <w:t xml:space="preserve">Right </w:t>
      </w:r>
      <w:proofErr w:type="spellStart"/>
      <w:r w:rsidRPr="00F93325">
        <w:rPr>
          <w:lang w:val="tr-TR"/>
        </w:rPr>
        <w:t>toEqualitybeforeCourtsandTribunalsandto</w:t>
      </w:r>
      <w:proofErr w:type="spellEnd"/>
      <w:r w:rsidRPr="00F93325">
        <w:rPr>
          <w:lang w:val="tr-TR"/>
        </w:rPr>
        <w:t xml:space="preserve"> a </w:t>
      </w:r>
      <w:proofErr w:type="spellStart"/>
      <w:r w:rsidRPr="00F93325">
        <w:rPr>
          <w:lang w:val="tr-TR"/>
        </w:rPr>
        <w:t>Fair</w:t>
      </w:r>
      <w:proofErr w:type="spellEnd"/>
      <w:r w:rsidRPr="00F93325">
        <w:rPr>
          <w:lang w:val="tr-TR"/>
        </w:rPr>
        <w:t xml:space="preserve"> Trial (</w:t>
      </w:r>
      <w:proofErr w:type="spellStart"/>
      <w:r w:rsidRPr="00F93325">
        <w:rPr>
          <w:lang w:val="tr-TR"/>
        </w:rPr>
        <w:t>NinetiethSession</w:t>
      </w:r>
      <w:proofErr w:type="spellEnd"/>
      <w:r w:rsidRPr="00F93325">
        <w:rPr>
          <w:lang w:val="tr-TR"/>
        </w:rPr>
        <w:t xml:space="preserve">, 9-27 </w:t>
      </w:r>
      <w:proofErr w:type="spellStart"/>
      <w:r w:rsidRPr="00F93325">
        <w:rPr>
          <w:lang w:val="tr-TR"/>
        </w:rPr>
        <w:t>July</w:t>
      </w:r>
      <w:proofErr w:type="spellEnd"/>
      <w:r w:rsidRPr="00F93325">
        <w:rPr>
          <w:lang w:val="tr-TR"/>
        </w:rPr>
        <w:t xml:space="preserve">) CCPR/C/GC/32, 23 </w:t>
      </w:r>
      <w:proofErr w:type="spellStart"/>
      <w:r w:rsidRPr="00F93325">
        <w:rPr>
          <w:lang w:val="tr-TR"/>
        </w:rPr>
        <w:t>August</w:t>
      </w:r>
      <w:proofErr w:type="spellEnd"/>
      <w:r w:rsidRPr="00F93325">
        <w:rPr>
          <w:lang w:val="tr-TR"/>
        </w:rPr>
        <w:t xml:space="preserve"> 2007 para.15</w:t>
      </w:r>
    </w:p>
  </w:footnote>
  <w:footnote w:id="17">
    <w:p w:rsidR="00703CEE" w:rsidRDefault="00703CEE" w:rsidP="00F93325">
      <w:pPr>
        <w:pStyle w:val="DipnotMetni"/>
      </w:pPr>
      <w:r w:rsidRPr="00F93325">
        <w:rPr>
          <w:rStyle w:val="DipnotBavurusu"/>
        </w:rPr>
        <w:footnoteRef/>
      </w:r>
      <w:r w:rsidRPr="00F93325">
        <w:t xml:space="preserve"> Ibid</w:t>
      </w:r>
    </w:p>
  </w:footnote>
  <w:footnote w:id="18">
    <w:p w:rsidR="00703CEE" w:rsidRDefault="00703CEE" w:rsidP="00F93325">
      <w:pPr>
        <w:pStyle w:val="DipnotMetni"/>
      </w:pPr>
      <w:r w:rsidRPr="00F93325">
        <w:rPr>
          <w:rStyle w:val="DipnotBavurusu"/>
        </w:rPr>
        <w:footnoteRef/>
      </w:r>
      <w:proofErr w:type="gramStart"/>
      <w:r w:rsidRPr="00F93325">
        <w:t>Communication No. 1015/2001</w:t>
      </w:r>
      <w:r w:rsidRPr="00F93325">
        <w:rPr>
          <w:i/>
          <w:iCs/>
        </w:rPr>
        <w:t xml:space="preserve">, </w:t>
      </w:r>
      <w:proofErr w:type="spellStart"/>
      <w:r w:rsidRPr="00F93325">
        <w:rPr>
          <w:i/>
          <w:iCs/>
        </w:rPr>
        <w:t>Perterer</w:t>
      </w:r>
      <w:proofErr w:type="spellEnd"/>
      <w:r w:rsidRPr="00F93325">
        <w:rPr>
          <w:i/>
          <w:iCs/>
        </w:rPr>
        <w:t xml:space="preserve"> v. Austria, </w:t>
      </w:r>
      <w:r w:rsidRPr="00F93325">
        <w:t xml:space="preserve">CCPR/C/81/D/1015/2001, 20.08.2004, </w:t>
      </w:r>
      <w:proofErr w:type="spellStart"/>
      <w:r w:rsidRPr="00F93325">
        <w:t>para</w:t>
      </w:r>
      <w:proofErr w:type="spellEnd"/>
      <w:r w:rsidRPr="00F93325">
        <w:t>.</w:t>
      </w:r>
      <w:proofErr w:type="gramEnd"/>
      <w:r w:rsidRPr="00F93325">
        <w:t xml:space="preserve"> 9.2</w:t>
      </w:r>
    </w:p>
  </w:footnote>
  <w:footnote w:id="19">
    <w:p w:rsidR="00703CEE" w:rsidRDefault="00703CEE" w:rsidP="00F93325">
      <w:pPr>
        <w:pStyle w:val="DipnotMetni"/>
      </w:pPr>
      <w:r w:rsidRPr="00F93325">
        <w:rPr>
          <w:rStyle w:val="DipnotBavurusu"/>
        </w:rPr>
        <w:footnoteRef/>
      </w:r>
      <w:proofErr w:type="spellStart"/>
      <w:r w:rsidRPr="00F93325">
        <w:rPr>
          <w:lang w:val="tr-TR"/>
        </w:rPr>
        <w:t>HereinafterEctHR</w:t>
      </w:r>
      <w:proofErr w:type="spellEnd"/>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p>
  </w:footnote>
  <w:footnote w:id="20">
    <w:p w:rsidR="00703CEE" w:rsidRDefault="00703CEE" w:rsidP="00F93325">
      <w:pPr>
        <w:pStyle w:val="DipnotMetni"/>
      </w:pPr>
      <w:r w:rsidRPr="00F93325">
        <w:rPr>
          <w:rStyle w:val="DipnotBavurusu"/>
        </w:rPr>
        <w:footnoteRef/>
      </w:r>
      <w:r w:rsidRPr="00F93325">
        <w:t xml:space="preserve"> Engel v Netherlands, App 5100/71; 5101/71; 5102/71; 5354/72; 5370/72, (</w:t>
      </w:r>
      <w:proofErr w:type="spellStart"/>
      <w:r w:rsidRPr="00F93325">
        <w:t>EctHR</w:t>
      </w:r>
      <w:proofErr w:type="spellEnd"/>
      <w:r w:rsidRPr="00F93325">
        <w:t xml:space="preserve"> 23 November 1976)</w:t>
      </w:r>
    </w:p>
  </w:footnote>
  <w:footnote w:id="21">
    <w:p w:rsidR="00703CEE" w:rsidRDefault="00703CEE" w:rsidP="00F93325">
      <w:pPr>
        <w:pStyle w:val="DipnotMetni"/>
      </w:pPr>
      <w:r w:rsidRPr="00F93325">
        <w:rPr>
          <w:rStyle w:val="DipnotBavurusu"/>
        </w:rPr>
        <w:footnoteRef/>
      </w:r>
      <w:proofErr w:type="spellStart"/>
      <w:r w:rsidRPr="00F93325">
        <w:t>Öztürk</w:t>
      </w:r>
      <w:proofErr w:type="spellEnd"/>
      <w:r w:rsidRPr="00F93325">
        <w:t xml:space="preserve"> v Germany, (1984) 6 EHRR SE409</w:t>
      </w:r>
    </w:p>
  </w:footnote>
  <w:footnote w:id="22">
    <w:p w:rsidR="00703CEE" w:rsidRDefault="00703CEE" w:rsidP="00F93325">
      <w:pPr>
        <w:pStyle w:val="DipnotMetni"/>
      </w:pPr>
      <w:r w:rsidRPr="00F93325">
        <w:rPr>
          <w:rStyle w:val="DipnotBavurusu"/>
        </w:rPr>
        <w:footnoteRef/>
      </w:r>
      <w:proofErr w:type="spellStart"/>
      <w:r w:rsidRPr="00F93325">
        <w:rPr>
          <w:lang w:val="tr-TR"/>
        </w:rPr>
        <w:t>Benham</w:t>
      </w:r>
      <w:proofErr w:type="spellEnd"/>
      <w:r w:rsidRPr="00F93325">
        <w:rPr>
          <w:lang w:val="tr-TR"/>
        </w:rPr>
        <w:t xml:space="preserve"> v United </w:t>
      </w:r>
      <w:proofErr w:type="spellStart"/>
      <w:r w:rsidRPr="00F93325">
        <w:rPr>
          <w:lang w:val="tr-TR"/>
        </w:rPr>
        <w:t>Kigndom</w:t>
      </w:r>
      <w:proofErr w:type="spellEnd"/>
      <w:r w:rsidRPr="00F93325">
        <w:rPr>
          <w:lang w:val="tr-TR"/>
        </w:rPr>
        <w:t xml:space="preserve">, 10 </w:t>
      </w:r>
      <w:proofErr w:type="spellStart"/>
      <w:r w:rsidRPr="00F93325">
        <w:rPr>
          <w:lang w:val="tr-TR"/>
        </w:rPr>
        <w:t>June</w:t>
      </w:r>
      <w:proofErr w:type="spellEnd"/>
      <w:r w:rsidRPr="00F93325">
        <w:rPr>
          <w:lang w:val="tr-TR"/>
        </w:rPr>
        <w:t xml:space="preserve"> 1996 22 </w:t>
      </w:r>
      <w:proofErr w:type="spellStart"/>
      <w:r w:rsidRPr="00F93325">
        <w:rPr>
          <w:lang w:val="tr-TR"/>
        </w:rPr>
        <w:t>ehrr</w:t>
      </w:r>
      <w:proofErr w:type="spellEnd"/>
      <w:r w:rsidRPr="00F93325">
        <w:rPr>
          <w:lang w:val="tr-TR"/>
        </w:rPr>
        <w:t xml:space="preserve"> 293 para. 56</w:t>
      </w:r>
    </w:p>
  </w:footnote>
  <w:footnote w:id="23">
    <w:p w:rsidR="00703CEE" w:rsidRDefault="00703CEE" w:rsidP="00F93325">
      <w:pPr>
        <w:pStyle w:val="DipnotMetni"/>
      </w:pPr>
      <w:r w:rsidRPr="00F93325">
        <w:rPr>
          <w:rStyle w:val="DipnotBavurusu"/>
        </w:rPr>
        <w:footnoteRef/>
      </w:r>
      <w:proofErr w:type="spellStart"/>
      <w:r w:rsidRPr="00F93325">
        <w:rPr>
          <w:lang w:val="tr-TR"/>
        </w:rPr>
        <w:t>Ravnsborg</w:t>
      </w:r>
      <w:proofErr w:type="spellEnd"/>
      <w:r w:rsidRPr="00F93325">
        <w:rPr>
          <w:lang w:val="tr-TR"/>
        </w:rPr>
        <w:t xml:space="preserve"> v </w:t>
      </w:r>
      <w:proofErr w:type="spellStart"/>
      <w:r w:rsidRPr="00F93325">
        <w:rPr>
          <w:lang w:val="tr-TR"/>
        </w:rPr>
        <w:t>Sweden</w:t>
      </w:r>
      <w:proofErr w:type="spellEnd"/>
      <w:r w:rsidRPr="00F93325">
        <w:rPr>
          <w:lang w:val="tr-TR"/>
        </w:rPr>
        <w:t xml:space="preserve">, 23 </w:t>
      </w:r>
      <w:proofErr w:type="spellStart"/>
      <w:r w:rsidRPr="00F93325">
        <w:rPr>
          <w:lang w:val="tr-TR"/>
        </w:rPr>
        <w:t>March</w:t>
      </w:r>
      <w:proofErr w:type="spellEnd"/>
      <w:r w:rsidRPr="00F93325">
        <w:rPr>
          <w:lang w:val="tr-TR"/>
        </w:rPr>
        <w:t xml:space="preserve"> 1994, 18 EHRR 38, para. 34</w:t>
      </w:r>
    </w:p>
  </w:footnote>
  <w:footnote w:id="24">
    <w:p w:rsidR="00703CEE" w:rsidRDefault="00703CEE" w:rsidP="00F93325">
      <w:pPr>
        <w:pStyle w:val="DipnotMetni"/>
      </w:pPr>
      <w:r w:rsidRPr="00F93325">
        <w:rPr>
          <w:rStyle w:val="DipnotBavurusu"/>
        </w:rPr>
        <w:footnoteRef/>
      </w:r>
      <w:proofErr w:type="spellStart"/>
      <w:r w:rsidRPr="00F93325">
        <w:rPr>
          <w:lang w:val="tr-TR"/>
        </w:rPr>
        <w:t>Bendenoun</w:t>
      </w:r>
      <w:proofErr w:type="spellEnd"/>
      <w:r w:rsidRPr="00F93325">
        <w:rPr>
          <w:lang w:val="tr-TR"/>
        </w:rPr>
        <w:t xml:space="preserve"> v France, 24 </w:t>
      </w:r>
      <w:proofErr w:type="spellStart"/>
      <w:r w:rsidRPr="00F93325">
        <w:rPr>
          <w:lang w:val="tr-TR"/>
        </w:rPr>
        <w:t>February</w:t>
      </w:r>
      <w:proofErr w:type="spellEnd"/>
      <w:r w:rsidRPr="00F93325">
        <w:rPr>
          <w:lang w:val="tr-TR"/>
        </w:rPr>
        <w:t xml:space="preserve"> 1994,18 EHR 54 </w:t>
      </w:r>
    </w:p>
  </w:footnote>
  <w:footnote w:id="25">
    <w:p w:rsidR="00703CEE" w:rsidRDefault="00703CEE" w:rsidP="00F93325">
      <w:pPr>
        <w:pStyle w:val="DipnotMetni"/>
      </w:pPr>
      <w:r w:rsidRPr="00F93325">
        <w:rPr>
          <w:rStyle w:val="DipnotBavurusu"/>
        </w:rPr>
        <w:footnoteRef/>
      </w:r>
      <w:proofErr w:type="spellStart"/>
      <w:r w:rsidRPr="00F93325">
        <w:rPr>
          <w:lang w:val="tr-TR"/>
        </w:rPr>
        <w:t>Weber</w:t>
      </w:r>
      <w:proofErr w:type="spellEnd"/>
      <w:r w:rsidRPr="00F93325">
        <w:rPr>
          <w:lang w:val="tr-TR"/>
        </w:rPr>
        <w:t xml:space="preserve"> v </w:t>
      </w:r>
      <w:proofErr w:type="spellStart"/>
      <w:r w:rsidRPr="00F93325">
        <w:rPr>
          <w:lang w:val="tr-TR"/>
        </w:rPr>
        <w:t>Switzerland</w:t>
      </w:r>
      <w:proofErr w:type="spellEnd"/>
      <w:r w:rsidRPr="00F93325">
        <w:rPr>
          <w:lang w:val="tr-TR"/>
        </w:rPr>
        <w:t xml:space="preserve">, 22 May 1990 12 EHRR 508 </w:t>
      </w:r>
    </w:p>
  </w:footnote>
  <w:footnote w:id="26">
    <w:p w:rsidR="00703CEE" w:rsidRDefault="00703CEE" w:rsidP="00F93325">
      <w:pPr>
        <w:pStyle w:val="DipnotMetni"/>
      </w:pPr>
      <w:r w:rsidRPr="00F93325">
        <w:rPr>
          <w:rStyle w:val="DipnotBavurusu"/>
        </w:rPr>
        <w:footnoteRef/>
      </w:r>
      <w:r w:rsidRPr="00F93325">
        <w:t xml:space="preserve"> (</w:t>
      </w:r>
      <w:proofErr w:type="gramStart"/>
      <w:r w:rsidRPr="00F93325">
        <w:t>n</w:t>
      </w:r>
      <w:proofErr w:type="gramEnd"/>
      <w:r w:rsidRPr="00F93325">
        <w:t xml:space="preserve"> 14) </w:t>
      </w:r>
      <w:proofErr w:type="spellStart"/>
      <w:r w:rsidRPr="00F93325">
        <w:t>para</w:t>
      </w:r>
      <w:proofErr w:type="spellEnd"/>
      <w:r w:rsidRPr="00F93325">
        <w:t>. 19</w:t>
      </w:r>
    </w:p>
  </w:footnote>
  <w:footnote w:id="27">
    <w:p w:rsidR="00703CEE" w:rsidRDefault="00703CEE" w:rsidP="00F93325">
      <w:pPr>
        <w:pStyle w:val="AralkYok"/>
      </w:pPr>
      <w:r w:rsidRPr="00F93325">
        <w:rPr>
          <w:rStyle w:val="DipnotBavurusu"/>
          <w:rFonts w:ascii="Times New Roman" w:hAnsi="Times New Roman" w:cs="Times New Roman"/>
          <w:sz w:val="20"/>
          <w:szCs w:val="20"/>
        </w:rPr>
        <w:footnoteRef/>
      </w:r>
      <w:r w:rsidRPr="00F93325">
        <w:rPr>
          <w:rFonts w:ascii="Times New Roman" w:hAnsi="Times New Roman" w:cs="Times New Roman"/>
          <w:sz w:val="20"/>
          <w:szCs w:val="20"/>
        </w:rPr>
        <w:t xml:space="preserve"> United Nations Basic Principles on the Independence of the Judiciary, (UNBPOJ) &lt;</w:t>
      </w:r>
      <w:hyperlink r:id="rId1" w:history="1">
        <w:r w:rsidRPr="00F93325">
          <w:rPr>
            <w:rStyle w:val="Kpr"/>
            <w:rFonts w:ascii="Times New Roman" w:hAnsi="Times New Roman" w:cs="Times New Roman"/>
            <w:sz w:val="20"/>
            <w:szCs w:val="20"/>
          </w:rPr>
          <w:t>http://www2.ohchr.org/english/law/indjudiciary.htm</w:t>
        </w:r>
      </w:hyperlink>
      <w:r w:rsidRPr="00F93325">
        <w:rPr>
          <w:rFonts w:ascii="Times New Roman" w:hAnsi="Times New Roman" w:cs="Times New Roman"/>
          <w:sz w:val="20"/>
          <w:szCs w:val="20"/>
        </w:rPr>
        <w:t>&gt; Accessed 28.02.2011</w:t>
      </w:r>
    </w:p>
  </w:footnote>
  <w:footnote w:id="28">
    <w:p w:rsidR="00703CEE" w:rsidRDefault="00703CEE" w:rsidP="00F93325">
      <w:pPr>
        <w:pStyle w:val="AralkYok"/>
      </w:pPr>
      <w:r w:rsidRPr="00F93325">
        <w:rPr>
          <w:rStyle w:val="DipnotBavurusu"/>
          <w:rFonts w:ascii="Times New Roman" w:hAnsi="Times New Roman" w:cs="Times New Roman"/>
          <w:sz w:val="20"/>
          <w:szCs w:val="20"/>
        </w:rPr>
        <w:footnoteRef/>
      </w:r>
      <w:proofErr w:type="spellStart"/>
      <w:r w:rsidRPr="00F93325">
        <w:rPr>
          <w:rFonts w:ascii="Times New Roman" w:hAnsi="Times New Roman" w:cs="Times New Roman"/>
          <w:sz w:val="20"/>
          <w:szCs w:val="20"/>
          <w:lang w:val="tr-TR"/>
        </w:rPr>
        <w:t>Ibid</w:t>
      </w:r>
      <w:proofErr w:type="spellEnd"/>
    </w:p>
  </w:footnote>
  <w:footnote w:id="29">
    <w:p w:rsidR="00703CEE" w:rsidRDefault="00703CEE" w:rsidP="00F93325">
      <w:pPr>
        <w:pStyle w:val="AralkYok"/>
      </w:pPr>
      <w:r w:rsidRPr="00F93325">
        <w:rPr>
          <w:rStyle w:val="DipnotBavurusu"/>
          <w:rFonts w:ascii="Times New Roman" w:hAnsi="Times New Roman" w:cs="Times New Roman"/>
          <w:sz w:val="20"/>
          <w:szCs w:val="20"/>
        </w:rPr>
        <w:footnoteRef/>
      </w:r>
      <w:proofErr w:type="spellStart"/>
      <w:r w:rsidRPr="00F93325">
        <w:rPr>
          <w:rFonts w:ascii="Times New Roman" w:hAnsi="Times New Roman" w:cs="Times New Roman"/>
          <w:sz w:val="20"/>
          <w:szCs w:val="20"/>
          <w:lang w:val="tr-TR"/>
        </w:rPr>
        <w:t>Ibid</w:t>
      </w:r>
      <w:proofErr w:type="spellEnd"/>
    </w:p>
  </w:footnote>
  <w:footnote w:id="30">
    <w:p w:rsidR="00703CEE" w:rsidRDefault="00703CEE" w:rsidP="00F93325">
      <w:pPr>
        <w:pStyle w:val="AralkYok"/>
      </w:pPr>
      <w:r w:rsidRPr="00F93325">
        <w:rPr>
          <w:rStyle w:val="DipnotBavurusu"/>
          <w:rFonts w:ascii="Times New Roman" w:hAnsi="Times New Roman" w:cs="Times New Roman"/>
          <w:sz w:val="20"/>
          <w:szCs w:val="20"/>
        </w:rPr>
        <w:footnoteRef/>
      </w:r>
      <w:proofErr w:type="spellStart"/>
      <w:r w:rsidRPr="00F93325">
        <w:rPr>
          <w:rFonts w:ascii="Times New Roman" w:hAnsi="Times New Roman" w:cs="Times New Roman"/>
          <w:sz w:val="20"/>
          <w:szCs w:val="20"/>
          <w:lang w:val="tr-TR"/>
        </w:rPr>
        <w:t>Ibid</w:t>
      </w:r>
      <w:proofErr w:type="spellEnd"/>
    </w:p>
  </w:footnote>
  <w:footnote w:id="31">
    <w:p w:rsidR="00703CEE" w:rsidRDefault="00703CEE" w:rsidP="00F93325">
      <w:pPr>
        <w:pStyle w:val="DipnotMetni"/>
      </w:pPr>
      <w:r w:rsidRPr="00F93325">
        <w:rPr>
          <w:rStyle w:val="DipnotBavurusu"/>
        </w:rPr>
        <w:footnoteRef/>
      </w:r>
      <w:r w:rsidRPr="00F93325">
        <w:t xml:space="preserve"> (</w:t>
      </w:r>
      <w:proofErr w:type="gramStart"/>
      <w:r w:rsidRPr="00F93325">
        <w:t>n</w:t>
      </w:r>
      <w:proofErr w:type="gramEnd"/>
      <w:r w:rsidRPr="00F93325">
        <w:t xml:space="preserve"> 14) </w:t>
      </w:r>
      <w:proofErr w:type="spellStart"/>
      <w:r w:rsidRPr="00F93325">
        <w:t>para</w:t>
      </w:r>
      <w:proofErr w:type="spellEnd"/>
      <w:r w:rsidRPr="00F93325">
        <w:t>. 19</w:t>
      </w:r>
      <w:r w:rsidRPr="00F93325">
        <w:tab/>
      </w:r>
      <w:r w:rsidRPr="00F93325">
        <w:tab/>
      </w:r>
      <w:r w:rsidRPr="00F93325">
        <w:tab/>
      </w:r>
      <w:r w:rsidRPr="00F93325">
        <w:tab/>
      </w:r>
      <w:r w:rsidRPr="00F93325">
        <w:tab/>
      </w:r>
      <w:r w:rsidRPr="00F93325">
        <w:tab/>
      </w:r>
      <w:r w:rsidRPr="00F93325">
        <w:tab/>
      </w:r>
      <w:r w:rsidRPr="00F93325">
        <w:tab/>
      </w:r>
      <w:r w:rsidRPr="00F93325">
        <w:tab/>
      </w:r>
    </w:p>
  </w:footnote>
  <w:footnote w:id="32">
    <w:p w:rsidR="00703CEE" w:rsidRDefault="00703CEE" w:rsidP="00F93325">
      <w:pPr>
        <w:pStyle w:val="DipnotMetni"/>
      </w:pPr>
      <w:r w:rsidRPr="00F93325">
        <w:rPr>
          <w:rStyle w:val="DipnotBavurusu"/>
        </w:rPr>
        <w:footnoteRef/>
      </w:r>
      <w:proofErr w:type="spellStart"/>
      <w:r w:rsidRPr="00F93325">
        <w:rPr>
          <w:lang w:val="tr-TR"/>
        </w:rPr>
        <w:t>Ibid</w:t>
      </w:r>
      <w:proofErr w:type="spellEnd"/>
    </w:p>
  </w:footnote>
  <w:footnote w:id="33">
    <w:p w:rsidR="00703CEE" w:rsidRDefault="00703CEE" w:rsidP="00F93325">
      <w:pPr>
        <w:pStyle w:val="AralkYok"/>
      </w:pPr>
      <w:r w:rsidRPr="00F93325">
        <w:rPr>
          <w:rStyle w:val="DipnotBavurusu"/>
          <w:rFonts w:ascii="Times New Roman" w:hAnsi="Times New Roman" w:cs="Times New Roman"/>
          <w:sz w:val="20"/>
          <w:szCs w:val="20"/>
        </w:rPr>
        <w:footnoteRef/>
      </w:r>
      <w:r w:rsidRPr="00F93325">
        <w:rPr>
          <w:rFonts w:ascii="Times New Roman" w:hAnsi="Times New Roman" w:cs="Times New Roman"/>
          <w:sz w:val="20"/>
          <w:szCs w:val="20"/>
        </w:rPr>
        <w:t xml:space="preserve"> Article 159 of Turkish Constitution as amended by the Law no: 5982 in 2010</w:t>
      </w:r>
    </w:p>
  </w:footnote>
  <w:footnote w:id="34">
    <w:p w:rsidR="00703CEE" w:rsidRDefault="00703CEE" w:rsidP="00F93325">
      <w:pPr>
        <w:pStyle w:val="DipnotMetni"/>
      </w:pPr>
      <w:r w:rsidRPr="00F93325">
        <w:rPr>
          <w:rStyle w:val="DipnotBavurusu"/>
        </w:rPr>
        <w:footnoteRef/>
      </w:r>
      <w:r w:rsidRPr="00F93325">
        <w:rPr>
          <w:lang w:val="tr-TR"/>
        </w:rPr>
        <w:t>(n 14) para. 19</w:t>
      </w:r>
    </w:p>
  </w:footnote>
  <w:footnote w:id="35">
    <w:p w:rsidR="00703CEE" w:rsidRDefault="00703CEE" w:rsidP="00F93325">
      <w:pPr>
        <w:pStyle w:val="DipnotMetni"/>
      </w:pPr>
      <w:r w:rsidRPr="00F93325">
        <w:rPr>
          <w:rStyle w:val="DipnotBavurusu"/>
        </w:rPr>
        <w:footnoteRef/>
      </w:r>
      <w:r w:rsidRPr="00F93325">
        <w:rPr>
          <w:lang w:val="tr-TR"/>
        </w:rPr>
        <w:t>(n 14) para. 21</w:t>
      </w:r>
    </w:p>
  </w:footnote>
  <w:footnote w:id="36">
    <w:p w:rsidR="00703CEE" w:rsidRDefault="00703CEE" w:rsidP="00F93325">
      <w:pPr>
        <w:pStyle w:val="DipnotMetni"/>
      </w:pPr>
      <w:r w:rsidRPr="00F93325">
        <w:rPr>
          <w:rStyle w:val="DipnotBavurusu"/>
        </w:rPr>
        <w:footnoteRef/>
      </w:r>
      <w:r w:rsidRPr="00F93325">
        <w:rPr>
          <w:lang w:val="tr-TR"/>
        </w:rPr>
        <w:t>(n 14) para.22</w:t>
      </w:r>
    </w:p>
  </w:footnote>
  <w:footnote w:id="37">
    <w:p w:rsidR="00703CEE" w:rsidRDefault="00703CEE" w:rsidP="00F93325">
      <w:pPr>
        <w:pStyle w:val="DipnotMetni"/>
      </w:pPr>
      <w:r w:rsidRPr="00F93325">
        <w:rPr>
          <w:rStyle w:val="DipnotBavurusu"/>
        </w:rPr>
        <w:footnoteRef/>
      </w:r>
      <w:proofErr w:type="gramStart"/>
      <w:r w:rsidRPr="00F93325">
        <w:t xml:space="preserve">Communication No. 1172/2003, </w:t>
      </w:r>
      <w:proofErr w:type="spellStart"/>
      <w:r w:rsidRPr="00F93325">
        <w:rPr>
          <w:i/>
          <w:iCs/>
        </w:rPr>
        <w:t>Madani</w:t>
      </w:r>
      <w:proofErr w:type="spellEnd"/>
      <w:r w:rsidRPr="00F93325">
        <w:rPr>
          <w:i/>
          <w:iCs/>
        </w:rPr>
        <w:t xml:space="preserve"> v. Algeria, </w:t>
      </w:r>
      <w:proofErr w:type="spellStart"/>
      <w:r w:rsidRPr="00F93325">
        <w:t>para</w:t>
      </w:r>
      <w:proofErr w:type="spellEnd"/>
      <w:r w:rsidRPr="00F93325">
        <w:t>.</w:t>
      </w:r>
      <w:proofErr w:type="gramEnd"/>
      <w:r w:rsidRPr="00F93325">
        <w:t xml:space="preserve"> 8.7</w:t>
      </w:r>
      <w:r w:rsidRPr="00F93325">
        <w:rPr>
          <w:i/>
          <w:iCs/>
        </w:rPr>
        <w:t>.</w:t>
      </w:r>
    </w:p>
  </w:footnote>
  <w:footnote w:id="38">
    <w:p w:rsidR="00703CEE" w:rsidRDefault="00703CEE" w:rsidP="00F93325">
      <w:pPr>
        <w:pStyle w:val="DipnotMetni"/>
      </w:pPr>
      <w:r w:rsidRPr="00F93325">
        <w:rPr>
          <w:rStyle w:val="DipnotBavurusu"/>
        </w:rPr>
        <w:footnoteRef/>
      </w:r>
      <w:proofErr w:type="spellStart"/>
      <w:r w:rsidRPr="00F93325">
        <w:rPr>
          <w:lang w:val="tr-TR"/>
        </w:rPr>
        <w:t>Ibid</w:t>
      </w:r>
      <w:proofErr w:type="spellEnd"/>
    </w:p>
  </w:footnote>
  <w:footnote w:id="39">
    <w:p w:rsidR="00703CEE" w:rsidRDefault="00703CEE" w:rsidP="00F93325">
      <w:pPr>
        <w:pStyle w:val="DipnotMetni"/>
      </w:pPr>
      <w:r w:rsidRPr="00F93325">
        <w:rPr>
          <w:rStyle w:val="DipnotBavurusu"/>
        </w:rPr>
        <w:footnoteRef/>
      </w:r>
      <w:proofErr w:type="spellStart"/>
      <w:r w:rsidRPr="00F93325">
        <w:rPr>
          <w:lang w:val="tr-TR"/>
        </w:rPr>
        <w:t>Incal</w:t>
      </w:r>
      <w:proofErr w:type="spellEnd"/>
      <w:r w:rsidRPr="00F93325">
        <w:rPr>
          <w:lang w:val="tr-TR"/>
        </w:rPr>
        <w:t xml:space="preserve"> v </w:t>
      </w:r>
      <w:proofErr w:type="spellStart"/>
      <w:r w:rsidRPr="00F93325">
        <w:rPr>
          <w:lang w:val="tr-TR"/>
        </w:rPr>
        <w:t>Turkey</w:t>
      </w:r>
      <w:proofErr w:type="spellEnd"/>
      <w:r w:rsidRPr="00F93325">
        <w:rPr>
          <w:lang w:val="tr-TR"/>
        </w:rPr>
        <w:t xml:space="preserve">, 9 </w:t>
      </w:r>
      <w:proofErr w:type="spellStart"/>
      <w:r w:rsidRPr="00F93325">
        <w:rPr>
          <w:lang w:val="tr-TR"/>
        </w:rPr>
        <w:t>June</w:t>
      </w:r>
      <w:proofErr w:type="spellEnd"/>
      <w:r w:rsidRPr="00F93325">
        <w:rPr>
          <w:lang w:val="tr-TR"/>
        </w:rPr>
        <w:t xml:space="preserve"> 1998, 29 EHRR 449</w:t>
      </w:r>
    </w:p>
  </w:footnote>
  <w:footnote w:id="40">
    <w:p w:rsidR="00703CEE" w:rsidRDefault="00703CEE" w:rsidP="00F93325">
      <w:pPr>
        <w:pStyle w:val="DipnotMetni"/>
      </w:pPr>
      <w:r w:rsidRPr="00F93325">
        <w:rPr>
          <w:rStyle w:val="DipnotBavurusu"/>
        </w:rPr>
        <w:footnoteRef/>
      </w:r>
      <w:r w:rsidRPr="00F93325">
        <w:rPr>
          <w:lang w:val="tr-TR"/>
        </w:rPr>
        <w:t xml:space="preserve">Öcalan v </w:t>
      </w:r>
      <w:proofErr w:type="spellStart"/>
      <w:r w:rsidRPr="00F93325">
        <w:rPr>
          <w:lang w:val="tr-TR"/>
        </w:rPr>
        <w:t>Turkey</w:t>
      </w:r>
      <w:proofErr w:type="spellEnd"/>
      <w:r w:rsidRPr="00F93325">
        <w:rPr>
          <w:lang w:val="tr-TR"/>
        </w:rPr>
        <w:t>, 12 May 2005, (GC), (2005) 41 EHRR 985</w:t>
      </w:r>
    </w:p>
  </w:footnote>
  <w:footnote w:id="41">
    <w:p w:rsidR="00703CEE" w:rsidRDefault="00703CEE" w:rsidP="00F93325">
      <w:pPr>
        <w:pStyle w:val="DipnotMetni"/>
      </w:pPr>
      <w:r w:rsidRPr="00F93325">
        <w:rPr>
          <w:rStyle w:val="DipnotBavurusu"/>
        </w:rPr>
        <w:footnoteRef/>
      </w:r>
      <w:proofErr w:type="spellStart"/>
      <w:r w:rsidRPr="00F93325">
        <w:rPr>
          <w:lang w:val="tr-TR"/>
        </w:rPr>
        <w:t>Ibid</w:t>
      </w:r>
      <w:proofErr w:type="spellEnd"/>
      <w:r w:rsidRPr="00F93325">
        <w:rPr>
          <w:lang w:val="tr-TR"/>
        </w:rPr>
        <w:t>, para. 48</w:t>
      </w:r>
    </w:p>
  </w:footnote>
  <w:footnote w:id="42">
    <w:p w:rsidR="00703CEE" w:rsidRDefault="00703CEE" w:rsidP="00F93325">
      <w:pPr>
        <w:pStyle w:val="DipnotMetni"/>
      </w:pPr>
      <w:r w:rsidRPr="00F93325">
        <w:rPr>
          <w:rStyle w:val="DipnotBavurusu"/>
        </w:rPr>
        <w:footnoteRef/>
      </w:r>
      <w:r w:rsidRPr="00F93325">
        <w:rPr>
          <w:lang w:val="tr-TR"/>
        </w:rPr>
        <w:t xml:space="preserve"> Mark v </w:t>
      </w:r>
      <w:proofErr w:type="spellStart"/>
      <w:r w:rsidRPr="00F93325">
        <w:rPr>
          <w:lang w:val="tr-TR"/>
        </w:rPr>
        <w:t>Janis</w:t>
      </w:r>
      <w:proofErr w:type="spellEnd"/>
      <w:r w:rsidRPr="00F93325">
        <w:rPr>
          <w:lang w:val="tr-TR"/>
        </w:rPr>
        <w:t xml:space="preserve">, Richard S. Kay, w. </w:t>
      </w:r>
      <w:proofErr w:type="spellStart"/>
      <w:r w:rsidRPr="00F93325">
        <w:rPr>
          <w:lang w:val="tr-TR"/>
        </w:rPr>
        <w:t>Bradley</w:t>
      </w:r>
      <w:proofErr w:type="spellEnd"/>
      <w:r w:rsidRPr="00F93325">
        <w:rPr>
          <w:lang w:val="tr-TR"/>
        </w:rPr>
        <w:t xml:space="preserve">, </w:t>
      </w:r>
      <w:proofErr w:type="spellStart"/>
      <w:r w:rsidRPr="00F93325">
        <w:rPr>
          <w:i/>
          <w:iCs/>
          <w:lang w:val="tr-TR"/>
        </w:rPr>
        <w:t>European</w:t>
      </w:r>
      <w:proofErr w:type="spellEnd"/>
      <w:r w:rsidRPr="00F93325">
        <w:rPr>
          <w:i/>
          <w:iCs/>
          <w:lang w:val="tr-TR"/>
        </w:rPr>
        <w:t xml:space="preserve"> Human </w:t>
      </w:r>
      <w:proofErr w:type="spellStart"/>
      <w:r w:rsidRPr="00F93325">
        <w:rPr>
          <w:i/>
          <w:iCs/>
          <w:lang w:val="tr-TR"/>
        </w:rPr>
        <w:t>RightsLaw</w:t>
      </w:r>
      <w:proofErr w:type="spellEnd"/>
      <w:r w:rsidRPr="00F93325">
        <w:rPr>
          <w:i/>
          <w:iCs/>
          <w:lang w:val="tr-TR"/>
        </w:rPr>
        <w:t xml:space="preserve">, </w:t>
      </w:r>
      <w:proofErr w:type="spellStart"/>
      <w:r w:rsidRPr="00F93325">
        <w:rPr>
          <w:i/>
          <w:iCs/>
          <w:lang w:val="tr-TR"/>
        </w:rPr>
        <w:t>TextandMaterials</w:t>
      </w:r>
      <w:proofErr w:type="spellEnd"/>
      <w:r w:rsidRPr="00F93325">
        <w:rPr>
          <w:i/>
          <w:iCs/>
          <w:lang w:val="tr-TR"/>
        </w:rPr>
        <w:t>,</w:t>
      </w:r>
      <w:r w:rsidRPr="00F93325">
        <w:rPr>
          <w:lang w:val="tr-TR"/>
        </w:rPr>
        <w:t xml:space="preserve"> (3th </w:t>
      </w:r>
      <w:proofErr w:type="spellStart"/>
      <w:r w:rsidRPr="00F93325">
        <w:rPr>
          <w:lang w:val="tr-TR"/>
        </w:rPr>
        <w:t>edition</w:t>
      </w:r>
      <w:proofErr w:type="spellEnd"/>
      <w:r w:rsidRPr="00F93325">
        <w:rPr>
          <w:lang w:val="tr-TR"/>
        </w:rPr>
        <w:t>, OUP 2008,) 769-770</w:t>
      </w:r>
    </w:p>
  </w:footnote>
  <w:footnote w:id="43">
    <w:p w:rsidR="00703CEE" w:rsidRDefault="00703CEE" w:rsidP="00F93325">
      <w:pPr>
        <w:pStyle w:val="DipnotMetni"/>
      </w:pPr>
      <w:r w:rsidRPr="00F93325">
        <w:rPr>
          <w:rStyle w:val="DipnotBavurusu"/>
        </w:rPr>
        <w:footnoteRef/>
      </w:r>
      <w:r w:rsidRPr="00F93325">
        <w:t xml:space="preserve"> Ibid</w:t>
      </w:r>
    </w:p>
  </w:footnote>
  <w:footnote w:id="44">
    <w:p w:rsidR="00703CEE" w:rsidRDefault="00703CEE" w:rsidP="00F93325">
      <w:pPr>
        <w:pStyle w:val="DipnotMetni"/>
      </w:pPr>
      <w:r w:rsidRPr="00F93325">
        <w:rPr>
          <w:rStyle w:val="DipnotBavurusu"/>
        </w:rPr>
        <w:footnoteRef/>
      </w:r>
      <w:proofErr w:type="spellStart"/>
      <w:r w:rsidRPr="00F93325">
        <w:rPr>
          <w:lang w:val="tr-TR"/>
        </w:rPr>
        <w:t>Ibid</w:t>
      </w:r>
      <w:proofErr w:type="spellEnd"/>
      <w:r w:rsidRPr="00F93325">
        <w:rPr>
          <w:lang w:val="tr-TR"/>
        </w:rPr>
        <w:t xml:space="preserve"> 771</w:t>
      </w:r>
    </w:p>
  </w:footnote>
  <w:footnote w:id="45">
    <w:p w:rsidR="00703CEE" w:rsidRDefault="00703CEE" w:rsidP="00F93325">
      <w:pPr>
        <w:pStyle w:val="DipnotMetni"/>
      </w:pPr>
      <w:r w:rsidRPr="00F93325">
        <w:rPr>
          <w:rStyle w:val="DipnotBavurusu"/>
        </w:rPr>
        <w:footnoteRef/>
      </w:r>
      <w:proofErr w:type="spellStart"/>
      <w:r w:rsidRPr="00F93325">
        <w:rPr>
          <w:lang w:val="tr-TR"/>
        </w:rPr>
        <w:t>Ibid</w:t>
      </w:r>
      <w:proofErr w:type="spellEnd"/>
    </w:p>
  </w:footnote>
  <w:footnote w:id="46">
    <w:p w:rsidR="00703CEE" w:rsidRDefault="00703CEE" w:rsidP="00F93325">
      <w:pPr>
        <w:pStyle w:val="DipnotMetni"/>
      </w:pPr>
      <w:r w:rsidRPr="00F93325">
        <w:rPr>
          <w:rStyle w:val="DipnotBavurusu"/>
        </w:rPr>
        <w:footnoteRef/>
      </w:r>
      <w:proofErr w:type="spellStart"/>
      <w:r w:rsidRPr="00F93325">
        <w:rPr>
          <w:lang w:val="tr-TR"/>
        </w:rPr>
        <w:t>Ibid</w:t>
      </w:r>
      <w:proofErr w:type="spellEnd"/>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p>
  </w:footnote>
  <w:footnote w:id="47">
    <w:p w:rsidR="00703CEE" w:rsidRDefault="00703CEE" w:rsidP="00F93325">
      <w:pPr>
        <w:pStyle w:val="DipnotMetni"/>
      </w:pPr>
      <w:r w:rsidRPr="00F93325">
        <w:rPr>
          <w:rStyle w:val="DipnotBavurusu"/>
        </w:rPr>
        <w:footnoteRef/>
      </w:r>
      <w:r w:rsidRPr="00F93325">
        <w:t xml:space="preserve"> UNBPOJ, (n 24)</w:t>
      </w:r>
    </w:p>
  </w:footnote>
  <w:footnote w:id="48">
    <w:p w:rsidR="00703CEE" w:rsidRDefault="00703CEE" w:rsidP="00F93325">
      <w:pPr>
        <w:pStyle w:val="DipnotMetni"/>
      </w:pPr>
      <w:r w:rsidRPr="00F93325">
        <w:rPr>
          <w:rStyle w:val="DipnotBavurusu"/>
        </w:rPr>
        <w:footnoteRef/>
      </w:r>
      <w:proofErr w:type="spellStart"/>
      <w:r w:rsidRPr="00F93325">
        <w:rPr>
          <w:lang w:val="tr-TR"/>
        </w:rPr>
        <w:t>Ibid</w:t>
      </w:r>
      <w:proofErr w:type="spellEnd"/>
    </w:p>
  </w:footnote>
  <w:footnote w:id="49">
    <w:p w:rsidR="00703CEE" w:rsidRDefault="00703CEE" w:rsidP="00F93325">
      <w:pPr>
        <w:pStyle w:val="DipnotMetni"/>
      </w:pPr>
      <w:r w:rsidRPr="00F93325">
        <w:rPr>
          <w:rStyle w:val="DipnotBavurusu"/>
        </w:rPr>
        <w:footnoteRef/>
      </w:r>
      <w:r w:rsidRPr="00F93325">
        <w:rPr>
          <w:lang w:val="tr-TR"/>
        </w:rPr>
        <w:t>GC 32 (n 14) para. 29</w:t>
      </w:r>
    </w:p>
  </w:footnote>
  <w:footnote w:id="50">
    <w:p w:rsidR="00703CEE" w:rsidRDefault="00703CEE" w:rsidP="00F93325">
      <w:pPr>
        <w:pStyle w:val="DipnotMetni"/>
      </w:pPr>
      <w:r w:rsidRPr="00F93325">
        <w:rPr>
          <w:rStyle w:val="DipnotBavurusu"/>
        </w:rPr>
        <w:footnoteRef/>
      </w:r>
      <w:proofErr w:type="spellStart"/>
      <w:r w:rsidRPr="00F93325">
        <w:t>Sangeeta</w:t>
      </w:r>
      <w:proofErr w:type="spellEnd"/>
      <w:r w:rsidRPr="00F93325">
        <w:t xml:space="preserve"> Shah, ‘Administration of Justice’, in </w:t>
      </w:r>
      <w:r w:rsidRPr="00F93325">
        <w:rPr>
          <w:lang w:val="tr-TR"/>
        </w:rPr>
        <w:t xml:space="preserve">Daniel </w:t>
      </w:r>
      <w:proofErr w:type="spellStart"/>
      <w:r w:rsidRPr="00F93325">
        <w:rPr>
          <w:lang w:val="tr-TR"/>
        </w:rPr>
        <w:t>Moeckly&amp;Co</w:t>
      </w:r>
      <w:proofErr w:type="spellEnd"/>
      <w:r w:rsidRPr="00F93325">
        <w:rPr>
          <w:lang w:val="tr-TR"/>
        </w:rPr>
        <w:t xml:space="preserve"> (n 6) 323</w:t>
      </w:r>
    </w:p>
  </w:footnote>
  <w:footnote w:id="51">
    <w:p w:rsidR="00703CEE" w:rsidRDefault="00703CEE" w:rsidP="00F93325">
      <w:pPr>
        <w:pStyle w:val="DipnotMetni"/>
      </w:pPr>
      <w:r w:rsidRPr="00F93325">
        <w:rPr>
          <w:rStyle w:val="DipnotBavurusu"/>
        </w:rPr>
        <w:footnoteRef/>
      </w:r>
      <w:r w:rsidRPr="00F93325">
        <w:rPr>
          <w:lang w:val="tr-TR"/>
        </w:rPr>
        <w:t>GC 32(n 14) para. 28</w:t>
      </w:r>
    </w:p>
  </w:footnote>
  <w:footnote w:id="52">
    <w:p w:rsidR="00703CEE" w:rsidRDefault="00703CEE" w:rsidP="00F93325">
      <w:pPr>
        <w:pStyle w:val="DipnotMetni"/>
      </w:pPr>
      <w:r w:rsidRPr="00F93325">
        <w:rPr>
          <w:rStyle w:val="DipnotBavurusu"/>
        </w:rPr>
        <w:footnoteRef/>
      </w:r>
      <w:proofErr w:type="spellStart"/>
      <w:r w:rsidRPr="00F93325">
        <w:rPr>
          <w:lang w:val="tr-TR"/>
        </w:rPr>
        <w:t>Article</w:t>
      </w:r>
      <w:proofErr w:type="spellEnd"/>
      <w:r w:rsidRPr="00F93325">
        <w:rPr>
          <w:lang w:val="tr-TR"/>
        </w:rPr>
        <w:t xml:space="preserve"> 14(1) of </w:t>
      </w:r>
      <w:proofErr w:type="spellStart"/>
      <w:r w:rsidRPr="00F93325">
        <w:rPr>
          <w:lang w:val="tr-TR"/>
        </w:rPr>
        <w:t>the</w:t>
      </w:r>
      <w:proofErr w:type="spellEnd"/>
      <w:r w:rsidRPr="00F93325">
        <w:rPr>
          <w:lang w:val="tr-TR"/>
        </w:rPr>
        <w:t xml:space="preserve"> ICCPR</w:t>
      </w:r>
    </w:p>
  </w:footnote>
  <w:footnote w:id="53">
    <w:p w:rsidR="00703CEE" w:rsidRDefault="00703CEE" w:rsidP="00F93325">
      <w:pPr>
        <w:pStyle w:val="DipnotMetni"/>
      </w:pPr>
      <w:r w:rsidRPr="00F93325">
        <w:rPr>
          <w:rStyle w:val="DipnotBavurusu"/>
        </w:rPr>
        <w:footnoteRef/>
      </w:r>
      <w:proofErr w:type="spellStart"/>
      <w:r w:rsidRPr="00F93325">
        <w:rPr>
          <w:lang w:val="tr-TR"/>
        </w:rPr>
        <w:t>Axen</w:t>
      </w:r>
      <w:proofErr w:type="spellEnd"/>
      <w:r w:rsidRPr="00F93325">
        <w:rPr>
          <w:lang w:val="tr-TR"/>
        </w:rPr>
        <w:t xml:space="preserve"> v Germany, (1984), 6 EHRR 195</w:t>
      </w:r>
    </w:p>
  </w:footnote>
  <w:footnote w:id="54">
    <w:p w:rsidR="00703CEE" w:rsidRDefault="00703CEE" w:rsidP="00F93325">
      <w:pPr>
        <w:pStyle w:val="DipnotMetni"/>
      </w:pPr>
      <w:r w:rsidRPr="00F93325">
        <w:rPr>
          <w:rStyle w:val="DipnotBavurusu"/>
        </w:rPr>
        <w:footnoteRef/>
      </w:r>
      <w:r w:rsidRPr="00F93325">
        <w:t xml:space="preserve"> (n 12) 99, 128</w:t>
      </w:r>
    </w:p>
  </w:footnote>
  <w:footnote w:id="55">
    <w:p w:rsidR="00703CEE" w:rsidRDefault="00703CEE" w:rsidP="005178E9">
      <w:pPr>
        <w:pStyle w:val="DipnotMetni"/>
      </w:pPr>
      <w:r w:rsidRPr="00F93325">
        <w:rPr>
          <w:rStyle w:val="DipnotBavurusu"/>
        </w:rPr>
        <w:footnoteRef/>
      </w:r>
      <w:proofErr w:type="spellStart"/>
      <w:r w:rsidRPr="00F93325">
        <w:rPr>
          <w:lang w:val="tr-TR"/>
        </w:rPr>
        <w:t>Article</w:t>
      </w:r>
      <w:proofErr w:type="spellEnd"/>
      <w:r w:rsidRPr="00F93325">
        <w:rPr>
          <w:lang w:val="tr-TR"/>
        </w:rPr>
        <w:t xml:space="preserve"> 14 (1) of </w:t>
      </w:r>
      <w:proofErr w:type="spellStart"/>
      <w:r w:rsidRPr="00F93325">
        <w:rPr>
          <w:lang w:val="tr-TR"/>
        </w:rPr>
        <w:t>the</w:t>
      </w:r>
      <w:proofErr w:type="spellEnd"/>
      <w:r w:rsidRPr="00F93325">
        <w:rPr>
          <w:lang w:val="tr-TR"/>
        </w:rPr>
        <w:t xml:space="preserve"> ICCPR</w:t>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p>
  </w:footnote>
  <w:footnote w:id="56">
    <w:p w:rsidR="00703CEE" w:rsidRDefault="00703CEE" w:rsidP="00F93325">
      <w:pPr>
        <w:pStyle w:val="DipnotMetni"/>
      </w:pPr>
      <w:r w:rsidRPr="00F93325">
        <w:rPr>
          <w:rStyle w:val="DipnotBavurusu"/>
        </w:rPr>
        <w:footnoteRef/>
      </w:r>
      <w:r w:rsidRPr="00F93325">
        <w:t xml:space="preserve"> Ibid, s</w:t>
      </w:r>
      <w:proofErr w:type="spellStart"/>
      <w:r w:rsidRPr="00F93325">
        <w:rPr>
          <w:lang w:val="tr-TR"/>
        </w:rPr>
        <w:t>ubparagraph</w:t>
      </w:r>
      <w:proofErr w:type="spellEnd"/>
      <w:r w:rsidRPr="00F93325">
        <w:rPr>
          <w:lang w:val="tr-TR"/>
        </w:rPr>
        <w:t xml:space="preserve"> 2-g</w:t>
      </w:r>
    </w:p>
  </w:footnote>
  <w:footnote w:id="57">
    <w:p w:rsidR="00703CEE" w:rsidRDefault="00703CEE" w:rsidP="00F93325">
      <w:pPr>
        <w:pStyle w:val="DipnotMetni"/>
      </w:pPr>
      <w:r w:rsidRPr="00F93325">
        <w:rPr>
          <w:rStyle w:val="DipnotBavurusu"/>
        </w:rPr>
        <w:footnoteRef/>
      </w:r>
      <w:r w:rsidRPr="00F93325">
        <w:rPr>
          <w:lang w:val="tr-TR"/>
        </w:rPr>
        <w:t>(n 14) para. 30</w:t>
      </w:r>
    </w:p>
  </w:footnote>
  <w:footnote w:id="58">
    <w:p w:rsidR="00703CEE" w:rsidRDefault="00703CEE" w:rsidP="00F93325">
      <w:pPr>
        <w:pStyle w:val="DipnotMetni"/>
      </w:pPr>
      <w:r w:rsidRPr="00F93325">
        <w:rPr>
          <w:rStyle w:val="DipnotBavurusu"/>
        </w:rPr>
        <w:footnoteRef/>
      </w:r>
      <w:r w:rsidRPr="00F93325">
        <w:t xml:space="preserve"> HRC, GC no</w:t>
      </w:r>
      <w:proofErr w:type="gramStart"/>
      <w:r w:rsidRPr="00F93325">
        <w:t>:29</w:t>
      </w:r>
      <w:proofErr w:type="gramEnd"/>
      <w:r w:rsidRPr="00F93325">
        <w:t>, States of Emergency(Article 4), (1950</w:t>
      </w:r>
      <w:r w:rsidRPr="00F93325">
        <w:rPr>
          <w:vertAlign w:val="superscript"/>
        </w:rPr>
        <w:t>th</w:t>
      </w:r>
      <w:r w:rsidRPr="00F93325">
        <w:t xml:space="preserve"> meeting</w:t>
      </w:r>
      <w:r w:rsidRPr="00F93325">
        <w:rPr>
          <w:lang w:val="tr-TR"/>
        </w:rPr>
        <w:t xml:space="preserve">,  </w:t>
      </w:r>
      <w:proofErr w:type="spellStart"/>
      <w:r w:rsidRPr="00F93325">
        <w:rPr>
          <w:lang w:val="tr-TR"/>
        </w:rPr>
        <w:t>July</w:t>
      </w:r>
      <w:proofErr w:type="spellEnd"/>
      <w:r w:rsidRPr="00F93325">
        <w:rPr>
          <w:lang w:val="tr-TR"/>
        </w:rPr>
        <w:t xml:space="preserve"> 24, 2001) </w:t>
      </w:r>
      <w:r w:rsidRPr="00F93325">
        <w:t xml:space="preserve">CCPR/C/21/Rev.1/Add.11, </w:t>
      </w:r>
      <w:r w:rsidRPr="00F93325">
        <w:rPr>
          <w:lang w:val="tr-TR"/>
        </w:rPr>
        <w:t>para. 11</w:t>
      </w:r>
    </w:p>
  </w:footnote>
  <w:footnote w:id="59">
    <w:p w:rsidR="00703CEE" w:rsidRDefault="00703CEE" w:rsidP="00F93325">
      <w:pPr>
        <w:pStyle w:val="DipnotMetni"/>
      </w:pPr>
      <w:r w:rsidRPr="00F93325">
        <w:rPr>
          <w:rStyle w:val="DipnotBavurusu"/>
        </w:rPr>
        <w:footnoteRef/>
      </w:r>
      <w:proofErr w:type="spellStart"/>
      <w:r w:rsidRPr="00F93325">
        <w:rPr>
          <w:lang w:val="tr-TR"/>
        </w:rPr>
        <w:t>See</w:t>
      </w:r>
      <w:proofErr w:type="spellEnd"/>
      <w:r w:rsidRPr="00F93325">
        <w:rPr>
          <w:lang w:val="tr-TR"/>
        </w:rPr>
        <w:t xml:space="preserve"> (n 5)</w:t>
      </w:r>
    </w:p>
  </w:footnote>
  <w:footnote w:id="60">
    <w:p w:rsidR="00703CEE" w:rsidRDefault="00703CEE" w:rsidP="00F93325">
      <w:pPr>
        <w:pStyle w:val="DipnotMetni"/>
      </w:pPr>
      <w:r w:rsidRPr="00F93325">
        <w:rPr>
          <w:rStyle w:val="DipnotBavurusu"/>
        </w:rPr>
        <w:footnoteRef/>
      </w:r>
      <w:r w:rsidRPr="00F93325">
        <w:rPr>
          <w:lang w:val="tr-TR"/>
        </w:rPr>
        <w:t>(n 14) para. 30</w:t>
      </w:r>
    </w:p>
  </w:footnote>
  <w:footnote w:id="61">
    <w:p w:rsidR="00703CEE" w:rsidRDefault="00703CEE" w:rsidP="00F93325">
      <w:pPr>
        <w:pStyle w:val="DipnotMetni"/>
      </w:pPr>
      <w:r w:rsidRPr="00F93325">
        <w:rPr>
          <w:rStyle w:val="DipnotBavurusu"/>
        </w:rPr>
        <w:footnoteRef/>
      </w:r>
      <w:r w:rsidRPr="00F93325">
        <w:t xml:space="preserve"> Ibid</w:t>
      </w:r>
    </w:p>
  </w:footnote>
  <w:footnote w:id="62">
    <w:p w:rsidR="00703CEE" w:rsidRDefault="00703CEE" w:rsidP="00F93325">
      <w:pPr>
        <w:pStyle w:val="DipnotMetni"/>
      </w:pPr>
      <w:r w:rsidRPr="00F93325">
        <w:rPr>
          <w:rStyle w:val="DipnotBavurusu"/>
        </w:rPr>
        <w:footnoteRef/>
      </w:r>
      <w:proofErr w:type="spellStart"/>
      <w:r w:rsidRPr="00F93325">
        <w:rPr>
          <w:lang w:val="tr-TR"/>
        </w:rPr>
        <w:t>Ibid</w:t>
      </w:r>
      <w:proofErr w:type="spellEnd"/>
    </w:p>
  </w:footnote>
  <w:footnote w:id="63">
    <w:p w:rsidR="00703CEE" w:rsidRDefault="00703CEE" w:rsidP="00F93325">
      <w:pPr>
        <w:pStyle w:val="DipnotMetni"/>
      </w:pPr>
      <w:r w:rsidRPr="00F93325">
        <w:rPr>
          <w:rStyle w:val="DipnotBavurusu"/>
        </w:rPr>
        <w:footnoteRef/>
      </w:r>
      <w:proofErr w:type="spellStart"/>
      <w:r w:rsidRPr="00F93325">
        <w:rPr>
          <w:i/>
          <w:iCs/>
          <w:lang w:val="tr-TR"/>
        </w:rPr>
        <w:t>Gridin</w:t>
      </w:r>
      <w:proofErr w:type="spellEnd"/>
      <w:r w:rsidRPr="00F93325">
        <w:rPr>
          <w:i/>
          <w:iCs/>
          <w:lang w:val="tr-TR"/>
        </w:rPr>
        <w:t xml:space="preserve"> v Russian </w:t>
      </w:r>
      <w:proofErr w:type="spellStart"/>
      <w:proofErr w:type="gramStart"/>
      <w:r w:rsidRPr="00F93325">
        <w:rPr>
          <w:i/>
          <w:iCs/>
          <w:lang w:val="tr-TR"/>
        </w:rPr>
        <w:t>Federation,</w:t>
      </w:r>
      <w:r w:rsidRPr="00F93325">
        <w:rPr>
          <w:lang w:val="tr-TR"/>
        </w:rPr>
        <w:t>CCPR</w:t>
      </w:r>
      <w:proofErr w:type="spellEnd"/>
      <w:proofErr w:type="gramEnd"/>
      <w:r w:rsidRPr="00F93325">
        <w:rPr>
          <w:lang w:val="tr-TR"/>
        </w:rPr>
        <w:t xml:space="preserve">/C/69/D/770/1997 (20 </w:t>
      </w:r>
      <w:proofErr w:type="spellStart"/>
      <w:r w:rsidRPr="00F93325">
        <w:rPr>
          <w:lang w:val="tr-TR"/>
        </w:rPr>
        <w:t>July</w:t>
      </w:r>
      <w:proofErr w:type="spellEnd"/>
      <w:r w:rsidRPr="00F93325">
        <w:rPr>
          <w:lang w:val="tr-TR"/>
        </w:rPr>
        <w:t xml:space="preserve"> 2000) para. 8.2</w:t>
      </w:r>
    </w:p>
  </w:footnote>
  <w:footnote w:id="64">
    <w:p w:rsidR="00703CEE" w:rsidRDefault="00703CEE" w:rsidP="00F93325">
      <w:pPr>
        <w:pStyle w:val="DipnotMetni"/>
      </w:pPr>
      <w:r w:rsidRPr="00F93325">
        <w:rPr>
          <w:rStyle w:val="DipnotBavurusu"/>
        </w:rPr>
        <w:footnoteRef/>
      </w:r>
      <w:r w:rsidRPr="00F93325">
        <w:t xml:space="preserve"> (n 47) 324</w:t>
      </w:r>
    </w:p>
  </w:footnote>
  <w:footnote w:id="65">
    <w:p w:rsidR="00703CEE" w:rsidRDefault="00703CEE" w:rsidP="00F93325">
      <w:pPr>
        <w:pStyle w:val="DipnotMetni"/>
      </w:pPr>
      <w:r w:rsidRPr="00F93325">
        <w:rPr>
          <w:rStyle w:val="DipnotBavurusu"/>
        </w:rPr>
        <w:footnoteRef/>
      </w:r>
      <w:r w:rsidRPr="00F93325">
        <w:rPr>
          <w:lang w:val="tr-TR"/>
        </w:rPr>
        <w:t>(n 14) para.41</w:t>
      </w:r>
    </w:p>
  </w:footnote>
  <w:footnote w:id="66">
    <w:p w:rsidR="00703CEE" w:rsidRDefault="00703CEE" w:rsidP="00F93325">
      <w:pPr>
        <w:pStyle w:val="DipnotMetni"/>
      </w:pPr>
      <w:r w:rsidRPr="00F93325">
        <w:rPr>
          <w:rStyle w:val="DipnotBavurusu"/>
        </w:rPr>
        <w:footnoteRef/>
      </w:r>
      <w:proofErr w:type="spellStart"/>
      <w:r w:rsidRPr="00F93325">
        <w:rPr>
          <w:lang w:val="tr-TR"/>
        </w:rPr>
        <w:t>Ibid</w:t>
      </w:r>
      <w:proofErr w:type="spellEnd"/>
    </w:p>
  </w:footnote>
  <w:footnote w:id="67">
    <w:p w:rsidR="00703CEE" w:rsidRDefault="00703CEE" w:rsidP="00F93325">
      <w:pPr>
        <w:pStyle w:val="DipnotMetni"/>
      </w:pPr>
      <w:r w:rsidRPr="00F93325">
        <w:rPr>
          <w:rStyle w:val="DipnotBavurusu"/>
        </w:rPr>
        <w:footnoteRef/>
      </w:r>
      <w:r w:rsidRPr="00F93325">
        <w:t xml:space="preserve"> UN General Assembly, </w:t>
      </w:r>
      <w:r w:rsidRPr="00F93325">
        <w:rPr>
          <w:i/>
          <w:iCs/>
        </w:rPr>
        <w:t>Convention Against Torture and Other Cruel, Inhuman or  Degrading Treatment or Punishment</w:t>
      </w:r>
      <w:r w:rsidRPr="00F93325">
        <w:t xml:space="preserve">, 10 December 1984, UNTS vol.1465 page 85, entry into force 26 June 1987, available at:: </w:t>
      </w:r>
      <w:hyperlink r:id="rId2" w:history="1">
        <w:r w:rsidRPr="00F93325">
          <w:rPr>
            <w:rStyle w:val="Kpr"/>
          </w:rPr>
          <w:t>http://www.unhcr.org/refworld/docid/3ae6b3a94.html</w:t>
        </w:r>
      </w:hyperlink>
      <w:r w:rsidRPr="00F93325">
        <w:t>, accessed 25 May 2012</w:t>
      </w:r>
    </w:p>
  </w:footnote>
  <w:footnote w:id="68">
    <w:p w:rsidR="00703CEE" w:rsidRDefault="00703CEE" w:rsidP="00F93325">
      <w:pPr>
        <w:pStyle w:val="DipnotMetni"/>
      </w:pPr>
      <w:r w:rsidRPr="00F93325">
        <w:rPr>
          <w:rStyle w:val="DipnotBavurusu"/>
        </w:rPr>
        <w:footnoteRef/>
      </w:r>
      <w:r w:rsidRPr="00F93325">
        <w:t xml:space="preserve"> (</w:t>
      </w:r>
      <w:proofErr w:type="gramStart"/>
      <w:r w:rsidRPr="00F93325">
        <w:t>n</w:t>
      </w:r>
      <w:proofErr w:type="gramEnd"/>
      <w:r w:rsidRPr="00F93325">
        <w:t xml:space="preserve"> 12), </w:t>
      </w:r>
      <w:proofErr w:type="spellStart"/>
      <w:r w:rsidRPr="00F93325">
        <w:t>para</w:t>
      </w:r>
      <w:proofErr w:type="spellEnd"/>
      <w:r w:rsidRPr="00F93325">
        <w:t>. 9.3</w:t>
      </w:r>
    </w:p>
  </w:footnote>
  <w:footnote w:id="69">
    <w:p w:rsidR="00703CEE" w:rsidRDefault="00703CEE" w:rsidP="00F93325">
      <w:pPr>
        <w:pStyle w:val="DipnotMetni"/>
      </w:pPr>
      <w:r w:rsidRPr="00F93325">
        <w:rPr>
          <w:rStyle w:val="DipnotBavurusu"/>
        </w:rPr>
        <w:footnoteRef/>
      </w:r>
      <w:r w:rsidRPr="00F93325">
        <w:t xml:space="preserve"> Murray v United Kingdom, 8 February 1996, (1996) 22 EHRR 29</w:t>
      </w:r>
      <w:r w:rsidRPr="00F93325">
        <w:tab/>
      </w:r>
      <w:r w:rsidRPr="00F93325">
        <w:tab/>
      </w:r>
      <w:r w:rsidRPr="00F93325">
        <w:tab/>
      </w:r>
      <w:r w:rsidRPr="00F93325">
        <w:tab/>
      </w:r>
      <w:r w:rsidRPr="00F93325">
        <w:tab/>
      </w:r>
    </w:p>
  </w:footnote>
  <w:footnote w:id="70">
    <w:p w:rsidR="00703CEE" w:rsidRDefault="00703CEE" w:rsidP="00F93325">
      <w:pPr>
        <w:pStyle w:val="DipnotMetni"/>
      </w:pPr>
      <w:r w:rsidRPr="00F93325">
        <w:rPr>
          <w:rStyle w:val="DipnotBavurusu"/>
        </w:rPr>
        <w:footnoteRef/>
      </w:r>
      <w:r w:rsidRPr="00F93325">
        <w:t xml:space="preserve"> 17 December 1996, (1997) 23 EHRR 313, emphasis added.</w:t>
      </w:r>
    </w:p>
  </w:footnote>
  <w:footnote w:id="71">
    <w:p w:rsidR="00703CEE" w:rsidRDefault="00703CEE" w:rsidP="00F93325">
      <w:pPr>
        <w:pStyle w:val="DipnotMetni"/>
      </w:pPr>
      <w:r w:rsidRPr="00F93325">
        <w:rPr>
          <w:rStyle w:val="DipnotBavurusu"/>
        </w:rPr>
        <w:footnoteRef/>
      </w:r>
      <w:r w:rsidRPr="00F93325">
        <w:t xml:space="preserve"> 29 June 2007, [GC], (2008) 46 EHRR 397</w:t>
      </w:r>
    </w:p>
  </w:footnote>
  <w:footnote w:id="72">
    <w:p w:rsidR="00703CEE" w:rsidRDefault="00703CEE" w:rsidP="00F93325">
      <w:pPr>
        <w:pStyle w:val="DipnotMetni"/>
      </w:pPr>
      <w:r w:rsidRPr="00F93325">
        <w:rPr>
          <w:rStyle w:val="DipnotBavurusu"/>
        </w:rPr>
        <w:footnoteRef/>
      </w:r>
      <w:proofErr w:type="spellStart"/>
      <w:r w:rsidRPr="00F93325">
        <w:rPr>
          <w:lang w:val="tr-TR"/>
        </w:rPr>
        <w:t>Ibid</w:t>
      </w:r>
      <w:proofErr w:type="spellEnd"/>
    </w:p>
  </w:footnote>
  <w:footnote w:id="73">
    <w:p w:rsidR="00703CEE" w:rsidRDefault="00703CEE" w:rsidP="00F93325">
      <w:pPr>
        <w:pStyle w:val="DipnotMetni"/>
      </w:pPr>
      <w:r w:rsidRPr="00F93325">
        <w:rPr>
          <w:rStyle w:val="DipnotBavurusu"/>
        </w:rPr>
        <w:footnoteRef/>
      </w:r>
      <w:r w:rsidRPr="00F93325">
        <w:t xml:space="preserve"> (n 12) 135 </w:t>
      </w:r>
    </w:p>
  </w:footnote>
  <w:footnote w:id="74">
    <w:p w:rsidR="00703CEE" w:rsidRDefault="00703CEE" w:rsidP="00F93325">
      <w:pPr>
        <w:pStyle w:val="DipnotMetni"/>
      </w:pPr>
      <w:r w:rsidRPr="00F93325">
        <w:rPr>
          <w:rStyle w:val="DipnotBavurusu"/>
        </w:rPr>
        <w:footnoteRef/>
      </w:r>
      <w:r w:rsidRPr="00F93325">
        <w:t xml:space="preserve">  Article 10 of the </w:t>
      </w:r>
      <w:proofErr w:type="gramStart"/>
      <w:r w:rsidRPr="00F93325">
        <w:t>UDHR,</w:t>
      </w:r>
      <w:proofErr w:type="gramEnd"/>
      <w:r w:rsidRPr="00F93325">
        <w:t xml:space="preserve"> Article 14(1)-(3)-a-b-d-e-f the ICCPR.</w:t>
      </w:r>
    </w:p>
  </w:footnote>
  <w:footnote w:id="75">
    <w:p w:rsidR="00703CEE" w:rsidRDefault="00703CEE" w:rsidP="00F93325">
      <w:pPr>
        <w:pStyle w:val="DipnotMetni"/>
      </w:pPr>
      <w:r w:rsidRPr="00F93325">
        <w:rPr>
          <w:rStyle w:val="DipnotBavurusu"/>
        </w:rPr>
        <w:footnoteRef/>
      </w:r>
      <w:r w:rsidRPr="00F93325">
        <w:rPr>
          <w:lang w:val="tr-TR"/>
        </w:rPr>
        <w:t>(n 14) para. 36</w:t>
      </w:r>
    </w:p>
  </w:footnote>
  <w:footnote w:id="76">
    <w:p w:rsidR="00703CEE" w:rsidRDefault="00703CEE" w:rsidP="00F93325">
      <w:pPr>
        <w:pStyle w:val="DipnotMetni"/>
      </w:pPr>
      <w:r w:rsidRPr="00F93325">
        <w:rPr>
          <w:rStyle w:val="DipnotBavurusu"/>
        </w:rPr>
        <w:footnoteRef/>
      </w:r>
      <w:r w:rsidRPr="000F7AD1">
        <w:rPr>
          <w:lang w:val="fr-FR"/>
        </w:rPr>
        <w:t xml:space="preserve"> (</w:t>
      </w:r>
      <w:proofErr w:type="gramStart"/>
      <w:r w:rsidRPr="000F7AD1">
        <w:rPr>
          <w:lang w:val="fr-FR"/>
        </w:rPr>
        <w:t>n</w:t>
      </w:r>
      <w:proofErr w:type="gramEnd"/>
      <w:r w:rsidRPr="000F7AD1">
        <w:rPr>
          <w:lang w:val="fr-FR"/>
        </w:rPr>
        <w:t xml:space="preserve"> 12) 121</w:t>
      </w:r>
    </w:p>
  </w:footnote>
  <w:footnote w:id="77">
    <w:p w:rsidR="00703CEE" w:rsidRDefault="00703CEE" w:rsidP="00F93325">
      <w:pPr>
        <w:pStyle w:val="DipnotMetni"/>
      </w:pPr>
      <w:r w:rsidRPr="00F93325">
        <w:rPr>
          <w:rStyle w:val="DipnotBavurusu"/>
        </w:rPr>
        <w:footnoteRef/>
      </w:r>
      <w:r w:rsidRPr="000F7AD1">
        <w:rPr>
          <w:lang w:val="fr-FR"/>
        </w:rPr>
        <w:t xml:space="preserve"> Kelly v </w:t>
      </w:r>
      <w:proofErr w:type="spellStart"/>
      <w:r w:rsidRPr="000F7AD1">
        <w:rPr>
          <w:lang w:val="fr-FR"/>
        </w:rPr>
        <w:t>Jamaica</w:t>
      </w:r>
      <w:proofErr w:type="spellEnd"/>
      <w:r w:rsidRPr="000F7AD1">
        <w:rPr>
          <w:lang w:val="fr-FR"/>
        </w:rPr>
        <w:t xml:space="preserve">, UN Doc. </w:t>
      </w:r>
      <w:r w:rsidRPr="00F93325">
        <w:t>CCPR/C/41/D/253/1987, para.7.3</w:t>
      </w:r>
    </w:p>
  </w:footnote>
  <w:footnote w:id="78">
    <w:p w:rsidR="00703CEE" w:rsidRDefault="00703CEE" w:rsidP="00F93325">
      <w:pPr>
        <w:pStyle w:val="DipnotMetni"/>
      </w:pPr>
      <w:r w:rsidRPr="00F93325">
        <w:rPr>
          <w:rStyle w:val="DipnotBavurusu"/>
        </w:rPr>
        <w:footnoteRef/>
      </w:r>
      <w:proofErr w:type="spellStart"/>
      <w:r w:rsidRPr="00F93325">
        <w:rPr>
          <w:lang w:val="tr-TR"/>
        </w:rPr>
        <w:t>Ibid</w:t>
      </w:r>
      <w:proofErr w:type="spellEnd"/>
    </w:p>
  </w:footnote>
  <w:footnote w:id="79">
    <w:p w:rsidR="00703CEE" w:rsidRDefault="00703CEE" w:rsidP="00B00868">
      <w:pPr>
        <w:pStyle w:val="DipnotMetni"/>
      </w:pPr>
      <w:r w:rsidRPr="00F93325">
        <w:rPr>
          <w:rStyle w:val="DipnotBavurusu"/>
        </w:rPr>
        <w:footnoteRef/>
      </w:r>
      <w:r w:rsidRPr="00F93325">
        <w:rPr>
          <w:lang w:val="tr-TR"/>
        </w:rPr>
        <w:t xml:space="preserve">22 </w:t>
      </w:r>
      <w:proofErr w:type="spellStart"/>
      <w:r w:rsidRPr="00F93325">
        <w:rPr>
          <w:lang w:val="tr-TR"/>
        </w:rPr>
        <w:t>February</w:t>
      </w:r>
      <w:proofErr w:type="spellEnd"/>
      <w:r w:rsidRPr="00F93325">
        <w:rPr>
          <w:lang w:val="tr-TR"/>
        </w:rPr>
        <w:t xml:space="preserve"> 1994, 18 EHRR 295</w:t>
      </w:r>
    </w:p>
  </w:footnote>
  <w:footnote w:id="80">
    <w:p w:rsidR="00703CEE" w:rsidRDefault="00703CEE" w:rsidP="00F93325">
      <w:pPr>
        <w:pStyle w:val="DipnotMetni"/>
      </w:pPr>
      <w:r w:rsidRPr="00F93325">
        <w:rPr>
          <w:rStyle w:val="DipnotBavurusu"/>
        </w:rPr>
        <w:footnoteRef/>
      </w:r>
      <w:r w:rsidRPr="000F7AD1">
        <w:rPr>
          <w:lang w:val="fr-FR"/>
        </w:rPr>
        <w:t xml:space="preserve"> (</w:t>
      </w:r>
      <w:proofErr w:type="gramStart"/>
      <w:r w:rsidRPr="000F7AD1">
        <w:rPr>
          <w:lang w:val="fr-FR"/>
        </w:rPr>
        <w:t>n</w:t>
      </w:r>
      <w:proofErr w:type="gramEnd"/>
      <w:r w:rsidRPr="000F7AD1">
        <w:rPr>
          <w:lang w:val="fr-FR"/>
        </w:rPr>
        <w:t xml:space="preserve"> 17) 292</w:t>
      </w:r>
    </w:p>
  </w:footnote>
  <w:footnote w:id="81">
    <w:p w:rsidR="00703CEE" w:rsidRDefault="00703CEE" w:rsidP="00F93325">
      <w:pPr>
        <w:pStyle w:val="DipnotMetni"/>
      </w:pPr>
      <w:r w:rsidRPr="00F93325">
        <w:rPr>
          <w:rStyle w:val="DipnotBavurusu"/>
        </w:rPr>
        <w:footnoteRef/>
      </w:r>
      <w:r w:rsidRPr="000F7AD1">
        <w:rPr>
          <w:lang w:val="fr-FR"/>
        </w:rPr>
        <w:t xml:space="preserve"> (</w:t>
      </w:r>
      <w:proofErr w:type="gramStart"/>
      <w:r w:rsidRPr="000F7AD1">
        <w:rPr>
          <w:lang w:val="fr-FR"/>
        </w:rPr>
        <w:t>n</w:t>
      </w:r>
      <w:proofErr w:type="gramEnd"/>
      <w:r w:rsidRPr="000F7AD1">
        <w:rPr>
          <w:lang w:val="fr-FR"/>
        </w:rPr>
        <w:t xml:space="preserve"> 14)</w:t>
      </w:r>
      <w:r w:rsidRPr="00F93325">
        <w:rPr>
          <w:lang w:val="tr-TR"/>
        </w:rPr>
        <w:t xml:space="preserve"> para.25</w:t>
      </w:r>
    </w:p>
  </w:footnote>
  <w:footnote w:id="82">
    <w:p w:rsidR="00703CEE" w:rsidRDefault="00703CEE" w:rsidP="00F93325">
      <w:pPr>
        <w:autoSpaceDE w:val="0"/>
        <w:autoSpaceDN w:val="0"/>
        <w:adjustRightInd w:val="0"/>
        <w:spacing w:after="0" w:line="240" w:lineRule="auto"/>
        <w:jc w:val="both"/>
      </w:pPr>
      <w:r w:rsidRPr="00F93325">
        <w:rPr>
          <w:rStyle w:val="DipnotBavurusu"/>
          <w:rFonts w:ascii="Times New Roman" w:hAnsi="Times New Roman" w:cs="Times New Roman"/>
          <w:sz w:val="20"/>
          <w:szCs w:val="20"/>
        </w:rPr>
        <w:footnoteRef/>
      </w:r>
      <w:proofErr w:type="spellStart"/>
      <w:r w:rsidRPr="000F7AD1">
        <w:rPr>
          <w:rFonts w:ascii="Times New Roman" w:hAnsi="Times New Roman" w:cs="Times New Roman"/>
          <w:sz w:val="20"/>
          <w:szCs w:val="20"/>
          <w:lang w:val="fr-FR"/>
        </w:rPr>
        <w:t>PolayCampos</w:t>
      </w:r>
      <w:proofErr w:type="spellEnd"/>
      <w:r w:rsidRPr="000F7AD1">
        <w:rPr>
          <w:rFonts w:ascii="Times New Roman" w:hAnsi="Times New Roman" w:cs="Times New Roman"/>
          <w:sz w:val="20"/>
          <w:szCs w:val="20"/>
          <w:lang w:val="fr-FR"/>
        </w:rPr>
        <w:t xml:space="preserve"> v </w:t>
      </w:r>
      <w:proofErr w:type="spellStart"/>
      <w:r w:rsidRPr="000F7AD1">
        <w:rPr>
          <w:rFonts w:ascii="Times New Roman" w:hAnsi="Times New Roman" w:cs="Times New Roman"/>
          <w:sz w:val="20"/>
          <w:szCs w:val="20"/>
          <w:lang w:val="fr-FR"/>
        </w:rPr>
        <w:t>Peru</w:t>
      </w:r>
      <w:proofErr w:type="spellEnd"/>
      <w:r w:rsidRPr="000F7AD1">
        <w:rPr>
          <w:rFonts w:ascii="Times New Roman" w:hAnsi="Times New Roman" w:cs="Times New Roman"/>
          <w:sz w:val="20"/>
          <w:szCs w:val="20"/>
          <w:lang w:val="fr-FR"/>
        </w:rPr>
        <w:t xml:space="preserve">, UN Doc., CCPR/C/61/D/577/1994(1997), para. </w:t>
      </w:r>
      <w:r w:rsidRPr="00F93325">
        <w:rPr>
          <w:rFonts w:ascii="Times New Roman" w:hAnsi="Times New Roman" w:cs="Times New Roman"/>
          <w:sz w:val="20"/>
          <w:szCs w:val="20"/>
        </w:rPr>
        <w:t>9</w:t>
      </w:r>
      <w:r w:rsidRPr="00F93325">
        <w:rPr>
          <w:rFonts w:ascii="Times New Roman" w:hAnsi="Times New Roman" w:cs="Times New Roman"/>
          <w:sz w:val="20"/>
          <w:szCs w:val="20"/>
        </w:rPr>
        <w:tab/>
      </w:r>
      <w:r w:rsidRPr="00F93325">
        <w:rPr>
          <w:rFonts w:ascii="Times New Roman" w:hAnsi="Times New Roman" w:cs="Times New Roman"/>
          <w:sz w:val="20"/>
          <w:szCs w:val="20"/>
        </w:rPr>
        <w:tab/>
      </w:r>
      <w:r w:rsidRPr="00F93325">
        <w:rPr>
          <w:rFonts w:ascii="Times New Roman" w:hAnsi="Times New Roman" w:cs="Times New Roman"/>
          <w:sz w:val="20"/>
          <w:szCs w:val="20"/>
        </w:rPr>
        <w:tab/>
      </w:r>
      <w:r w:rsidRPr="00F93325">
        <w:rPr>
          <w:rFonts w:ascii="Times New Roman" w:hAnsi="Times New Roman" w:cs="Times New Roman"/>
          <w:sz w:val="20"/>
          <w:szCs w:val="20"/>
        </w:rPr>
        <w:tab/>
      </w:r>
    </w:p>
  </w:footnote>
  <w:footnote w:id="83">
    <w:p w:rsidR="00703CEE" w:rsidRDefault="00703CEE" w:rsidP="00F93325">
      <w:pPr>
        <w:pStyle w:val="DipnotMetni"/>
      </w:pPr>
      <w:r w:rsidRPr="00F93325">
        <w:rPr>
          <w:rStyle w:val="DipnotBavurusu"/>
        </w:rPr>
        <w:footnoteRef/>
      </w:r>
      <w:proofErr w:type="gramStart"/>
      <w:r w:rsidRPr="00F93325">
        <w:rPr>
          <w:color w:val="000000"/>
          <w:lang w:eastAsia="en-GB"/>
        </w:rPr>
        <w:t xml:space="preserve">CCPR/C/77/D/1086/2002, 8 May 2003, </w:t>
      </w:r>
      <w:proofErr w:type="spellStart"/>
      <w:r w:rsidRPr="00F93325">
        <w:rPr>
          <w:color w:val="000000"/>
          <w:lang w:eastAsia="en-GB"/>
        </w:rPr>
        <w:t>para</w:t>
      </w:r>
      <w:proofErr w:type="spellEnd"/>
      <w:r w:rsidRPr="00F93325">
        <w:rPr>
          <w:color w:val="000000"/>
          <w:lang w:eastAsia="en-GB"/>
        </w:rPr>
        <w:t>.</w:t>
      </w:r>
      <w:proofErr w:type="gramEnd"/>
      <w:r w:rsidRPr="00F93325">
        <w:rPr>
          <w:color w:val="000000"/>
          <w:lang w:eastAsia="en-GB"/>
        </w:rPr>
        <w:t xml:space="preserve"> 2.2</w:t>
      </w:r>
    </w:p>
  </w:footnote>
  <w:footnote w:id="84">
    <w:p w:rsidR="00703CEE" w:rsidRDefault="00703CEE" w:rsidP="00F93325">
      <w:pPr>
        <w:pStyle w:val="DipnotMetni"/>
      </w:pPr>
      <w:r w:rsidRPr="00F93325">
        <w:rPr>
          <w:rStyle w:val="DipnotBavurusu"/>
        </w:rPr>
        <w:footnoteRef/>
      </w:r>
      <w:r w:rsidRPr="00F93325">
        <w:t xml:space="preserve"> (n 12) 136</w:t>
      </w:r>
    </w:p>
  </w:footnote>
  <w:footnote w:id="85">
    <w:p w:rsidR="00703CEE" w:rsidRDefault="00703CEE" w:rsidP="00F93325">
      <w:pPr>
        <w:pStyle w:val="DipnotMetni"/>
      </w:pPr>
      <w:r w:rsidRPr="00F93325">
        <w:rPr>
          <w:rStyle w:val="DipnotBavurusu"/>
        </w:rPr>
        <w:footnoteRef/>
      </w:r>
      <w:proofErr w:type="spellStart"/>
      <w:r w:rsidRPr="00F93325">
        <w:rPr>
          <w:lang w:val="tr-TR"/>
        </w:rPr>
        <w:t>Ibid</w:t>
      </w:r>
      <w:proofErr w:type="spellEnd"/>
    </w:p>
  </w:footnote>
  <w:footnote w:id="86">
    <w:p w:rsidR="00703CEE" w:rsidRDefault="00703CEE" w:rsidP="00F93325">
      <w:pPr>
        <w:pStyle w:val="DipnotMetni"/>
      </w:pPr>
      <w:r w:rsidRPr="00F93325">
        <w:rPr>
          <w:rStyle w:val="DipnotBavurusu"/>
        </w:rPr>
        <w:footnoteRef/>
      </w:r>
      <w:r w:rsidRPr="00F93325">
        <w:t xml:space="preserve"> (</w:t>
      </w:r>
      <w:proofErr w:type="gramStart"/>
      <w:r w:rsidRPr="00F93325">
        <w:t>n</w:t>
      </w:r>
      <w:proofErr w:type="gramEnd"/>
      <w:r w:rsidRPr="00F93325">
        <w:t xml:space="preserve"> 14) </w:t>
      </w:r>
      <w:proofErr w:type="spellStart"/>
      <w:r w:rsidRPr="00F93325">
        <w:t>para</w:t>
      </w:r>
      <w:proofErr w:type="spellEnd"/>
      <w:r w:rsidRPr="00F93325">
        <w:t>. 31</w:t>
      </w:r>
    </w:p>
  </w:footnote>
  <w:footnote w:id="87">
    <w:p w:rsidR="00703CEE" w:rsidRDefault="00703CEE" w:rsidP="00F93325">
      <w:pPr>
        <w:pStyle w:val="DipnotMetni"/>
      </w:pPr>
      <w:r w:rsidRPr="00F93325">
        <w:rPr>
          <w:rStyle w:val="DipnotBavurusu"/>
        </w:rPr>
        <w:footnoteRef/>
      </w:r>
      <w:proofErr w:type="spellStart"/>
      <w:r w:rsidRPr="00F93325">
        <w:rPr>
          <w:lang w:val="tr-TR"/>
        </w:rPr>
        <w:t>Ibid</w:t>
      </w:r>
      <w:proofErr w:type="spellEnd"/>
    </w:p>
  </w:footnote>
  <w:footnote w:id="88">
    <w:p w:rsidR="00703CEE" w:rsidRDefault="00703CEE" w:rsidP="00F93325">
      <w:pPr>
        <w:pStyle w:val="DipnotMetni"/>
      </w:pPr>
      <w:r w:rsidRPr="00F93325">
        <w:rPr>
          <w:rStyle w:val="DipnotBavurusu"/>
        </w:rPr>
        <w:footnoteRef/>
      </w:r>
      <w:proofErr w:type="gramStart"/>
      <w:r w:rsidRPr="00F93325">
        <w:t xml:space="preserve">Ibid </w:t>
      </w:r>
      <w:proofErr w:type="spellStart"/>
      <w:r w:rsidRPr="00F93325">
        <w:t>para</w:t>
      </w:r>
      <w:proofErr w:type="spellEnd"/>
      <w:r w:rsidRPr="00F93325">
        <w:t>.</w:t>
      </w:r>
      <w:proofErr w:type="gramEnd"/>
      <w:r w:rsidRPr="00F93325">
        <w:t xml:space="preserve"> 33</w:t>
      </w:r>
    </w:p>
  </w:footnote>
  <w:footnote w:id="89">
    <w:p w:rsidR="00703CEE" w:rsidRDefault="00703CEE" w:rsidP="00F93325">
      <w:pPr>
        <w:pStyle w:val="DipnotMetni"/>
      </w:pPr>
      <w:r w:rsidRPr="00F93325">
        <w:rPr>
          <w:rStyle w:val="DipnotBavurusu"/>
        </w:rPr>
        <w:footnoteRef/>
      </w:r>
      <w:proofErr w:type="spellStart"/>
      <w:r w:rsidRPr="00F93325">
        <w:rPr>
          <w:lang w:val="tr-TR"/>
        </w:rPr>
        <w:t>Ibid</w:t>
      </w:r>
      <w:proofErr w:type="spellEnd"/>
      <w:r w:rsidRPr="00F93325">
        <w:rPr>
          <w:lang w:val="tr-TR"/>
        </w:rPr>
        <w:t xml:space="preserve"> para. 32</w:t>
      </w:r>
    </w:p>
  </w:footnote>
  <w:footnote w:id="90">
    <w:p w:rsidR="00703CEE" w:rsidRDefault="00703CEE" w:rsidP="00F93325">
      <w:pPr>
        <w:pStyle w:val="DipnotMetni"/>
      </w:pPr>
      <w:r w:rsidRPr="00F93325">
        <w:rPr>
          <w:rStyle w:val="DipnotBavurusu"/>
        </w:rPr>
        <w:footnoteRef/>
      </w:r>
      <w:r w:rsidRPr="00F93325">
        <w:t xml:space="preserve"> Article 14(3)-c and Article 14 (5) of the ICCPR</w:t>
      </w:r>
    </w:p>
  </w:footnote>
  <w:footnote w:id="91">
    <w:p w:rsidR="00703CEE" w:rsidRDefault="00703CEE" w:rsidP="00F93325">
      <w:pPr>
        <w:pStyle w:val="DipnotMetni"/>
      </w:pPr>
      <w:r w:rsidRPr="00F93325">
        <w:rPr>
          <w:rStyle w:val="DipnotBavurusu"/>
        </w:rPr>
        <w:footnoteRef/>
      </w:r>
      <w:r w:rsidRPr="00F93325">
        <w:t xml:space="preserve"> (n 14) para.35</w:t>
      </w:r>
    </w:p>
  </w:footnote>
  <w:footnote w:id="92">
    <w:p w:rsidR="00703CEE" w:rsidRDefault="00703CEE" w:rsidP="00F93325">
      <w:pPr>
        <w:pStyle w:val="DipnotMetni"/>
      </w:pPr>
      <w:r w:rsidRPr="00F93325">
        <w:rPr>
          <w:rStyle w:val="DipnotBavurusu"/>
        </w:rPr>
        <w:footnoteRef/>
      </w:r>
      <w:r w:rsidRPr="00F93325">
        <w:t xml:space="preserve"> Ibid</w:t>
      </w:r>
    </w:p>
  </w:footnote>
  <w:footnote w:id="93">
    <w:p w:rsidR="00703CEE" w:rsidRDefault="00703CEE" w:rsidP="00F93325">
      <w:pPr>
        <w:pStyle w:val="DipnotMetni"/>
      </w:pPr>
      <w:r w:rsidRPr="00F93325">
        <w:rPr>
          <w:rStyle w:val="DipnotBavurusu"/>
        </w:rPr>
        <w:footnoteRef/>
      </w:r>
      <w:proofErr w:type="spellStart"/>
      <w:r w:rsidRPr="00F93325">
        <w:rPr>
          <w:lang w:val="tr-TR"/>
        </w:rPr>
        <w:t>Ibid</w:t>
      </w:r>
      <w:proofErr w:type="spellEnd"/>
    </w:p>
  </w:footnote>
  <w:footnote w:id="94">
    <w:p w:rsidR="00703CEE" w:rsidRPr="00F93325" w:rsidRDefault="00703CEE" w:rsidP="00F93325">
      <w:pPr>
        <w:autoSpaceDE w:val="0"/>
        <w:autoSpaceDN w:val="0"/>
        <w:adjustRightInd w:val="0"/>
        <w:spacing w:after="0" w:line="240" w:lineRule="auto"/>
        <w:jc w:val="both"/>
        <w:rPr>
          <w:rFonts w:ascii="Times New Roman" w:hAnsi="Times New Roman" w:cs="Times New Roman"/>
          <w:sz w:val="20"/>
          <w:szCs w:val="20"/>
        </w:rPr>
      </w:pPr>
      <w:r w:rsidRPr="00F93325">
        <w:rPr>
          <w:rStyle w:val="DipnotBavurusu"/>
          <w:rFonts w:ascii="Times New Roman" w:hAnsi="Times New Roman" w:cs="Times New Roman"/>
          <w:sz w:val="20"/>
          <w:szCs w:val="20"/>
        </w:rPr>
        <w:footnoteRef/>
      </w:r>
      <w:proofErr w:type="spellStart"/>
      <w:r w:rsidRPr="00F93325">
        <w:rPr>
          <w:rFonts w:ascii="Times New Roman" w:hAnsi="Times New Roman" w:cs="Times New Roman"/>
          <w:i/>
          <w:iCs/>
          <w:sz w:val="20"/>
          <w:szCs w:val="20"/>
        </w:rPr>
        <w:t>Hadjianastassiou</w:t>
      </w:r>
      <w:proofErr w:type="spellEnd"/>
      <w:r w:rsidRPr="00F93325">
        <w:rPr>
          <w:rFonts w:ascii="Times New Roman" w:hAnsi="Times New Roman" w:cs="Times New Roman"/>
          <w:i/>
          <w:iCs/>
          <w:sz w:val="20"/>
          <w:szCs w:val="20"/>
        </w:rPr>
        <w:t xml:space="preserve"> v. Greece, </w:t>
      </w:r>
      <w:r w:rsidRPr="00F93325">
        <w:rPr>
          <w:rFonts w:ascii="Times New Roman" w:hAnsi="Times New Roman" w:cs="Times New Roman"/>
          <w:sz w:val="20"/>
          <w:szCs w:val="20"/>
        </w:rPr>
        <w:t xml:space="preserve">16 December 1992, (1993) 16 EHRR 219 para.33, </w:t>
      </w:r>
      <w:r w:rsidRPr="00F93325">
        <w:rPr>
          <w:rFonts w:ascii="Times New Roman" w:hAnsi="Times New Roman" w:cs="Times New Roman"/>
          <w:i/>
          <w:iCs/>
          <w:sz w:val="20"/>
          <w:szCs w:val="20"/>
        </w:rPr>
        <w:t>Hamilton v. Jamaica</w:t>
      </w:r>
      <w:r w:rsidRPr="00F93325">
        <w:rPr>
          <w:rFonts w:ascii="Times New Roman" w:hAnsi="Times New Roman" w:cs="Times New Roman"/>
          <w:sz w:val="20"/>
          <w:szCs w:val="20"/>
        </w:rPr>
        <w:t>,</w:t>
      </w:r>
    </w:p>
    <w:p w:rsidR="00703CEE" w:rsidRDefault="00703CEE" w:rsidP="00F93325">
      <w:pPr>
        <w:pStyle w:val="DipnotMetni"/>
      </w:pPr>
      <w:r w:rsidRPr="000F7AD1">
        <w:rPr>
          <w:lang w:val="fr-FR"/>
        </w:rPr>
        <w:t>23 March 1994, UN Doc. CCPR/C/50/D/333/1988, para.8.3</w:t>
      </w:r>
    </w:p>
  </w:footnote>
  <w:footnote w:id="95">
    <w:p w:rsidR="00703CEE" w:rsidRDefault="00703CEE" w:rsidP="00F93325">
      <w:pPr>
        <w:autoSpaceDE w:val="0"/>
        <w:autoSpaceDN w:val="0"/>
        <w:adjustRightInd w:val="0"/>
        <w:spacing w:after="0" w:line="240" w:lineRule="auto"/>
        <w:jc w:val="both"/>
      </w:pPr>
      <w:r w:rsidRPr="00F93325">
        <w:rPr>
          <w:rStyle w:val="DipnotBavurusu"/>
          <w:rFonts w:ascii="Times New Roman" w:hAnsi="Times New Roman" w:cs="Times New Roman"/>
          <w:sz w:val="20"/>
          <w:szCs w:val="20"/>
        </w:rPr>
        <w:footnoteRef/>
      </w:r>
      <w:proofErr w:type="spellStart"/>
      <w:r w:rsidRPr="000F7AD1">
        <w:rPr>
          <w:rFonts w:ascii="Times New Roman" w:hAnsi="Times New Roman" w:cs="Times New Roman"/>
          <w:i/>
          <w:iCs/>
          <w:sz w:val="20"/>
          <w:szCs w:val="20"/>
          <w:lang w:val="fr-FR"/>
        </w:rPr>
        <w:t>Currie</w:t>
      </w:r>
      <w:proofErr w:type="spellEnd"/>
      <w:r w:rsidRPr="000F7AD1">
        <w:rPr>
          <w:rFonts w:ascii="Times New Roman" w:hAnsi="Times New Roman" w:cs="Times New Roman"/>
          <w:i/>
          <w:iCs/>
          <w:sz w:val="20"/>
          <w:szCs w:val="20"/>
          <w:lang w:val="fr-FR"/>
        </w:rPr>
        <w:t xml:space="preserve"> v. </w:t>
      </w:r>
      <w:proofErr w:type="spellStart"/>
      <w:r w:rsidRPr="000F7AD1">
        <w:rPr>
          <w:rFonts w:ascii="Times New Roman" w:hAnsi="Times New Roman" w:cs="Times New Roman"/>
          <w:i/>
          <w:iCs/>
          <w:sz w:val="20"/>
          <w:szCs w:val="20"/>
          <w:lang w:val="fr-FR"/>
        </w:rPr>
        <w:t>Jamaica</w:t>
      </w:r>
      <w:proofErr w:type="spellEnd"/>
      <w:r w:rsidRPr="000F7AD1">
        <w:rPr>
          <w:rFonts w:ascii="Times New Roman" w:hAnsi="Times New Roman" w:cs="Times New Roman"/>
          <w:sz w:val="20"/>
          <w:szCs w:val="20"/>
          <w:lang w:val="fr-FR"/>
        </w:rPr>
        <w:t>, 31.03.1994, CCPR/C/50/D/377/1989 para.13.5</w:t>
      </w:r>
    </w:p>
  </w:footnote>
  <w:footnote w:id="96">
    <w:p w:rsidR="00703CEE" w:rsidRDefault="00703CEE" w:rsidP="00F93325">
      <w:pPr>
        <w:pStyle w:val="DipnotMetni"/>
      </w:pPr>
      <w:r w:rsidRPr="00F93325">
        <w:rPr>
          <w:rStyle w:val="DipnotBavurusu"/>
        </w:rPr>
        <w:footnoteRef/>
      </w:r>
      <w:r w:rsidRPr="00F93325">
        <w:t xml:space="preserve"> (n 14) paras.45-48</w:t>
      </w:r>
    </w:p>
  </w:footnote>
  <w:footnote w:id="97">
    <w:p w:rsidR="00703CEE" w:rsidRDefault="00703CEE" w:rsidP="00F93325">
      <w:pPr>
        <w:pStyle w:val="DipnotMetni"/>
      </w:pPr>
      <w:r w:rsidRPr="00F93325">
        <w:rPr>
          <w:rStyle w:val="DipnotBavurusu"/>
        </w:rPr>
        <w:footnoteRef/>
      </w:r>
      <w:r w:rsidRPr="00F93325">
        <w:t xml:space="preserve"> (n 47) 327</w:t>
      </w:r>
    </w:p>
  </w:footnote>
  <w:footnote w:id="98">
    <w:p w:rsidR="00703CEE" w:rsidRDefault="00703CEE" w:rsidP="00F93325">
      <w:pPr>
        <w:pStyle w:val="DipnotMetni"/>
      </w:pPr>
      <w:r w:rsidRPr="00F93325">
        <w:rPr>
          <w:rStyle w:val="DipnotBavurusu"/>
        </w:rPr>
        <w:footnoteRef/>
      </w:r>
      <w:proofErr w:type="spellStart"/>
      <w:r w:rsidRPr="00F93325">
        <w:rPr>
          <w:lang w:val="tr-TR"/>
        </w:rPr>
        <w:t>Ibid</w:t>
      </w:r>
      <w:proofErr w:type="spellEnd"/>
    </w:p>
  </w:footnote>
  <w:footnote w:id="99">
    <w:p w:rsidR="00703CEE" w:rsidRDefault="00703CEE" w:rsidP="00F93325">
      <w:pPr>
        <w:pStyle w:val="DipnotMetni"/>
      </w:pPr>
      <w:r w:rsidRPr="00F93325">
        <w:rPr>
          <w:rStyle w:val="DipnotBavurusu"/>
        </w:rPr>
        <w:footnoteRef/>
      </w:r>
      <w:r w:rsidRPr="00F93325">
        <w:t xml:space="preserve"> (n 12) 111</w:t>
      </w:r>
      <w:r w:rsidRPr="00F93325">
        <w:tab/>
      </w:r>
      <w:r w:rsidRPr="00F93325">
        <w:tab/>
      </w:r>
      <w:r w:rsidRPr="00F93325">
        <w:tab/>
      </w:r>
      <w:r w:rsidRPr="00F93325">
        <w:tab/>
      </w:r>
      <w:r w:rsidRPr="00F93325">
        <w:tab/>
      </w:r>
      <w:r w:rsidRPr="00F93325">
        <w:tab/>
      </w:r>
      <w:r w:rsidRPr="00F93325">
        <w:tab/>
      </w:r>
      <w:r w:rsidRPr="00F93325">
        <w:tab/>
      </w:r>
      <w:r w:rsidRPr="00F93325">
        <w:tab/>
      </w:r>
      <w:r w:rsidRPr="00F93325">
        <w:tab/>
      </w:r>
      <w:r w:rsidRPr="00F93325">
        <w:tab/>
      </w:r>
    </w:p>
  </w:footnote>
  <w:footnote w:id="100">
    <w:p w:rsidR="00703CEE" w:rsidRDefault="00703CEE" w:rsidP="00F93325">
      <w:pPr>
        <w:pStyle w:val="DipnotMetni"/>
      </w:pPr>
      <w:r w:rsidRPr="00F93325">
        <w:rPr>
          <w:rStyle w:val="DipnotBavurusu"/>
        </w:rPr>
        <w:footnoteRef/>
      </w:r>
      <w:proofErr w:type="spellStart"/>
      <w:r w:rsidRPr="00F93325">
        <w:rPr>
          <w:lang w:val="tr-TR"/>
        </w:rPr>
        <w:t>Article</w:t>
      </w:r>
      <w:proofErr w:type="spellEnd"/>
      <w:r w:rsidRPr="00F93325">
        <w:rPr>
          <w:lang w:val="tr-TR"/>
        </w:rPr>
        <w:t xml:space="preserve"> 4(2) of ICCPR</w:t>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p>
  </w:footnote>
  <w:footnote w:id="101">
    <w:p w:rsidR="00703CEE" w:rsidRDefault="00703CEE" w:rsidP="00F93325">
      <w:pPr>
        <w:pStyle w:val="DipnotMetni"/>
      </w:pPr>
      <w:r w:rsidRPr="00F93325">
        <w:rPr>
          <w:rStyle w:val="DipnotBavurusu"/>
        </w:rPr>
        <w:footnoteRef/>
      </w:r>
      <w:r w:rsidRPr="00F93325">
        <w:t xml:space="preserve"> (no 14) para.44</w:t>
      </w:r>
    </w:p>
  </w:footnote>
  <w:footnote w:id="102">
    <w:p w:rsidR="00703CEE" w:rsidRDefault="00703CEE" w:rsidP="00F93325">
      <w:pPr>
        <w:pStyle w:val="DipnotMetni"/>
      </w:pPr>
      <w:r w:rsidRPr="00F93325">
        <w:rPr>
          <w:rStyle w:val="DipnotBavurusu"/>
        </w:rPr>
        <w:footnoteRef/>
      </w:r>
      <w:r w:rsidRPr="00F93325">
        <w:t xml:space="preserve"> Ibid para.42</w:t>
      </w:r>
    </w:p>
  </w:footnote>
  <w:footnote w:id="103">
    <w:p w:rsidR="00703CEE" w:rsidRDefault="00703CEE" w:rsidP="00F93325">
      <w:pPr>
        <w:pStyle w:val="DipnotMetni"/>
      </w:pPr>
      <w:r w:rsidRPr="00F93325">
        <w:rPr>
          <w:rStyle w:val="DipnotBavurusu"/>
        </w:rPr>
        <w:footnoteRef/>
      </w:r>
      <w:proofErr w:type="spellStart"/>
      <w:r w:rsidRPr="00F93325">
        <w:rPr>
          <w:lang w:val="tr-TR"/>
        </w:rPr>
        <w:t>Ibid</w:t>
      </w:r>
      <w:proofErr w:type="spellEnd"/>
      <w:r w:rsidRPr="00F93325">
        <w:rPr>
          <w:lang w:val="tr-TR"/>
        </w:rPr>
        <w:t xml:space="preserve"> para.43</w:t>
      </w:r>
    </w:p>
  </w:footnote>
  <w:footnote w:id="104">
    <w:p w:rsidR="00703CEE" w:rsidRPr="00F93325" w:rsidRDefault="00703CEE" w:rsidP="00F93325">
      <w:pPr>
        <w:pStyle w:val="DipnotMetni"/>
        <w:rPr>
          <w:lang w:val="tr-TR"/>
        </w:rPr>
      </w:pPr>
      <w:r w:rsidRPr="00F93325">
        <w:rPr>
          <w:rStyle w:val="DipnotBavurusu"/>
        </w:rPr>
        <w:footnoteRef/>
      </w:r>
      <w:r w:rsidRPr="00F93325">
        <w:rPr>
          <w:lang w:val="tr-TR"/>
        </w:rPr>
        <w:t>(n 14) paras.52,53</w:t>
      </w:r>
    </w:p>
    <w:p w:rsidR="00703CEE" w:rsidRDefault="00703CEE" w:rsidP="00F93325">
      <w:pPr>
        <w:pStyle w:val="DipnotMetni"/>
      </w:pP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r w:rsidRPr="00F93325">
        <w:rPr>
          <w:lang w:val="tr-TR"/>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EE" w:rsidRDefault="00AC5B98" w:rsidP="009764D2">
    <w:pPr>
      <w:spacing w:after="105" w:line="240" w:lineRule="auto"/>
      <w:jc w:val="center"/>
      <w:rPr>
        <w:rFonts w:ascii="Times New Roman" w:hAnsi="Times New Roman" w:cs="Times New Roman"/>
        <w:color w:val="2A2A2A"/>
        <w:sz w:val="20"/>
        <w:szCs w:val="20"/>
        <w:lang w:eastAsia="en-GB"/>
      </w:rPr>
    </w:pPr>
    <w:r>
      <w:rPr>
        <w:noProof/>
        <w:lang w:val="tr-TR" w:eastAsia="tr-TR"/>
      </w:rPr>
      <mc:AlternateContent>
        <mc:Choice Requires="wps">
          <w:drawing>
            <wp:anchor distT="0" distB="0" distL="114300" distR="114300" simplePos="0" relativeHeight="251657728" behindDoc="0" locked="0" layoutInCell="0" allowOverlap="1">
              <wp:simplePos x="0" y="0"/>
              <wp:positionH relativeFrom="page">
                <wp:posOffset>7052310</wp:posOffset>
              </wp:positionH>
              <wp:positionV relativeFrom="margin">
                <wp:align>center</wp:align>
              </wp:positionV>
              <wp:extent cx="720090" cy="329565"/>
              <wp:effectExtent l="3810" t="0" r="0" b="3810"/>
              <wp:wrapNone/>
              <wp:docPr id="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CEE" w:rsidRDefault="0081227E">
                          <w:pPr>
                            <w:pBdr>
                              <w:bottom w:val="single" w:sz="4" w:space="1" w:color="auto"/>
                            </w:pBdr>
                          </w:pPr>
                          <w:r>
                            <w:fldChar w:fldCharType="begin"/>
                          </w:r>
                          <w:r>
                            <w:instrText>PAGE   \* MERGEFORMAT</w:instrText>
                          </w:r>
                          <w:r>
                            <w:fldChar w:fldCharType="separate"/>
                          </w:r>
                          <w:r w:rsidR="00FC6D30" w:rsidRPr="00FC6D30">
                            <w:rPr>
                              <w:noProof/>
                              <w:lang w:val="tr-TR"/>
                            </w:rPr>
                            <w:t>3</w:t>
                          </w:r>
                          <w:r>
                            <w:rPr>
                              <w:noProof/>
                              <w:lang w:val="tr-T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left:0;text-align:left;margin-left:555.3pt;margin-top:0;width:56.7pt;height:25.9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" o:allowincell="f" stroked="f">
              <v:textbox>
                <w:txbxContent>
                  <w:p w:rsidR="00703CEE" w:rsidRDefault="0081227E">
                    <w:pPr>
                      <w:pBdr>
                        <w:bottom w:val="single" w:sz="4" w:space="1" w:color="auto"/>
                      </w:pBdr>
                    </w:pPr>
                    <w:r>
                      <w:fldChar w:fldCharType="begin"/>
                    </w:r>
                    <w:r>
                      <w:instrText>PAGE   \* MERGEFORMAT</w:instrText>
                    </w:r>
                    <w:r>
                      <w:fldChar w:fldCharType="separate"/>
                    </w:r>
                    <w:r w:rsidR="00FC6D30" w:rsidRPr="00FC6D30">
                      <w:rPr>
                        <w:noProof/>
                        <w:lang w:val="tr-TR"/>
                      </w:rPr>
                      <w:t>3</w:t>
                    </w:r>
                    <w:r>
                      <w:rPr>
                        <w:noProof/>
                        <w:lang w:val="tr-TR"/>
                      </w:rPr>
                      <w:fldChar w:fldCharType="end"/>
                    </w:r>
                  </w:p>
                </w:txbxContent>
              </v:textbox>
              <w10:wrap anchorx="page" anchory="margin"/>
            </v:rect>
          </w:pict>
        </mc:Fallback>
      </mc:AlternateContent>
    </w:r>
    <w:r w:rsidR="00703CEE" w:rsidRPr="009764D2">
      <w:rPr>
        <w:rFonts w:ascii="Times New Roman" w:hAnsi="Times New Roman" w:cs="Times New Roman"/>
        <w:color w:val="2A2A2A"/>
        <w:sz w:val="20"/>
        <w:szCs w:val="20"/>
        <w:lang w:eastAsia="en-GB"/>
      </w:rPr>
      <w:t>CRIMINAL TRIALS: What guarantees does international human rights law offer?</w:t>
    </w:r>
  </w:p>
  <w:p w:rsidR="006D4C03" w:rsidRPr="009764D2" w:rsidRDefault="006D4C03" w:rsidP="009764D2">
    <w:pPr>
      <w:spacing w:after="105" w:line="240" w:lineRule="auto"/>
      <w:jc w:val="center"/>
      <w:rPr>
        <w:rFonts w:ascii="Times New Roman" w:hAnsi="Times New Roman" w:cs="Times New Roman"/>
        <w:color w:val="2A2A2A"/>
        <w:sz w:val="20"/>
        <w:szCs w:val="20"/>
        <w:lang w:eastAsia="en-GB"/>
      </w:rPr>
    </w:pPr>
    <w:r>
      <w:rPr>
        <w:rFonts w:ascii="Times New Roman" w:hAnsi="Times New Roman" w:cs="Times New Roman"/>
        <w:color w:val="2A2A2A"/>
        <w:sz w:val="20"/>
        <w:szCs w:val="20"/>
        <w:lang w:eastAsia="en-GB"/>
      </w:rPr>
      <w:t xml:space="preserve">CEZA YARGILAMALARI: </w:t>
    </w:r>
    <w:proofErr w:type="spellStart"/>
    <w:r>
      <w:rPr>
        <w:rFonts w:ascii="Times New Roman" w:hAnsi="Times New Roman" w:cs="Times New Roman"/>
        <w:color w:val="2A2A2A"/>
        <w:sz w:val="20"/>
        <w:szCs w:val="20"/>
        <w:lang w:eastAsia="en-GB"/>
      </w:rPr>
      <w:t>Uluslararası</w:t>
    </w:r>
    <w:proofErr w:type="spellEnd"/>
    <w:r>
      <w:rPr>
        <w:rFonts w:ascii="Times New Roman" w:hAnsi="Times New Roman" w:cs="Times New Roman"/>
        <w:color w:val="2A2A2A"/>
        <w:sz w:val="20"/>
        <w:szCs w:val="20"/>
        <w:lang w:eastAsia="en-GB"/>
      </w:rPr>
      <w:t xml:space="preserve"> </w:t>
    </w:r>
    <w:proofErr w:type="spellStart"/>
    <w:r>
      <w:rPr>
        <w:rFonts w:ascii="Times New Roman" w:hAnsi="Times New Roman" w:cs="Times New Roman"/>
        <w:color w:val="2A2A2A"/>
        <w:sz w:val="20"/>
        <w:szCs w:val="20"/>
        <w:lang w:eastAsia="en-GB"/>
      </w:rPr>
      <w:t>İnsan</w:t>
    </w:r>
    <w:proofErr w:type="spellEnd"/>
    <w:r>
      <w:rPr>
        <w:rFonts w:ascii="Times New Roman" w:hAnsi="Times New Roman" w:cs="Times New Roman"/>
        <w:color w:val="2A2A2A"/>
        <w:sz w:val="20"/>
        <w:szCs w:val="20"/>
        <w:lang w:eastAsia="en-GB"/>
      </w:rPr>
      <w:t xml:space="preserve"> </w:t>
    </w:r>
    <w:proofErr w:type="spellStart"/>
    <w:r>
      <w:rPr>
        <w:rFonts w:ascii="Times New Roman" w:hAnsi="Times New Roman" w:cs="Times New Roman"/>
        <w:color w:val="2A2A2A"/>
        <w:sz w:val="20"/>
        <w:szCs w:val="20"/>
        <w:lang w:eastAsia="en-GB"/>
      </w:rPr>
      <w:t>Hakları</w:t>
    </w:r>
    <w:proofErr w:type="spellEnd"/>
    <w:r>
      <w:rPr>
        <w:rFonts w:ascii="Times New Roman" w:hAnsi="Times New Roman" w:cs="Times New Roman"/>
        <w:color w:val="2A2A2A"/>
        <w:sz w:val="20"/>
        <w:szCs w:val="20"/>
        <w:lang w:eastAsia="en-GB"/>
      </w:rPr>
      <w:t xml:space="preserve"> </w:t>
    </w:r>
    <w:proofErr w:type="spellStart"/>
    <w:r>
      <w:rPr>
        <w:rFonts w:ascii="Times New Roman" w:hAnsi="Times New Roman" w:cs="Times New Roman"/>
        <w:color w:val="2A2A2A"/>
        <w:sz w:val="20"/>
        <w:szCs w:val="20"/>
        <w:lang w:eastAsia="en-GB"/>
      </w:rPr>
      <w:t>Hukuku</w:t>
    </w:r>
    <w:proofErr w:type="spellEnd"/>
    <w:r>
      <w:rPr>
        <w:rFonts w:ascii="Times New Roman" w:hAnsi="Times New Roman" w:cs="Times New Roman"/>
        <w:color w:val="2A2A2A"/>
        <w:sz w:val="20"/>
        <w:szCs w:val="20"/>
        <w:lang w:eastAsia="en-GB"/>
      </w:rPr>
      <w:t xml:space="preserve"> </w:t>
    </w:r>
    <w:proofErr w:type="spellStart"/>
    <w:r>
      <w:rPr>
        <w:rFonts w:ascii="Times New Roman" w:hAnsi="Times New Roman" w:cs="Times New Roman"/>
        <w:color w:val="2A2A2A"/>
        <w:sz w:val="20"/>
        <w:szCs w:val="20"/>
        <w:lang w:eastAsia="en-GB"/>
      </w:rPr>
      <w:t>Hangi</w:t>
    </w:r>
    <w:proofErr w:type="spellEnd"/>
    <w:r>
      <w:rPr>
        <w:rFonts w:ascii="Times New Roman" w:hAnsi="Times New Roman" w:cs="Times New Roman"/>
        <w:color w:val="2A2A2A"/>
        <w:sz w:val="20"/>
        <w:szCs w:val="20"/>
        <w:lang w:eastAsia="en-GB"/>
      </w:rPr>
      <w:t xml:space="preserve"> </w:t>
    </w:r>
    <w:proofErr w:type="spellStart"/>
    <w:r>
      <w:rPr>
        <w:rFonts w:ascii="Times New Roman" w:hAnsi="Times New Roman" w:cs="Times New Roman"/>
        <w:color w:val="2A2A2A"/>
        <w:sz w:val="20"/>
        <w:szCs w:val="20"/>
        <w:lang w:eastAsia="en-GB"/>
      </w:rPr>
      <w:t>Garantileri</w:t>
    </w:r>
    <w:proofErr w:type="spellEnd"/>
    <w:r>
      <w:rPr>
        <w:rFonts w:ascii="Times New Roman" w:hAnsi="Times New Roman" w:cs="Times New Roman"/>
        <w:color w:val="2A2A2A"/>
        <w:sz w:val="20"/>
        <w:szCs w:val="20"/>
        <w:lang w:eastAsia="en-GB"/>
      </w:rPr>
      <w:t xml:space="preserve"> </w:t>
    </w:r>
    <w:proofErr w:type="spellStart"/>
    <w:r>
      <w:rPr>
        <w:rFonts w:ascii="Times New Roman" w:hAnsi="Times New Roman" w:cs="Times New Roman"/>
        <w:color w:val="2A2A2A"/>
        <w:sz w:val="20"/>
        <w:szCs w:val="20"/>
        <w:lang w:eastAsia="en-GB"/>
      </w:rPr>
      <w:t>Sunmaktadır</w:t>
    </w:r>
    <w:proofErr w:type="spellEnd"/>
    <w:r>
      <w:rPr>
        <w:rFonts w:ascii="Times New Roman" w:hAnsi="Times New Roman" w:cs="Times New Roman"/>
        <w:color w:val="2A2A2A"/>
        <w:sz w:val="20"/>
        <w:szCs w:val="20"/>
        <w:lang w:eastAsia="en-GB"/>
      </w:rPr>
      <w:t>?</w:t>
    </w:r>
  </w:p>
  <w:p w:rsidR="00703CEE" w:rsidRPr="009764D2" w:rsidRDefault="00703CEE" w:rsidP="009764D2">
    <w:pPr>
      <w:spacing w:after="105" w:line="240" w:lineRule="auto"/>
      <w:jc w:val="center"/>
      <w:rPr>
        <w:rFonts w:ascii="Times New Roman" w:hAnsi="Times New Roman" w:cs="Times New Roman"/>
        <w:color w:val="2A2A2A"/>
        <w:sz w:val="20"/>
        <w:szCs w:val="20"/>
        <w:lang w:eastAsia="en-GB"/>
      </w:rPr>
    </w:pPr>
    <w:proofErr w:type="spellStart"/>
    <w:r w:rsidRPr="009764D2">
      <w:rPr>
        <w:rFonts w:ascii="Times New Roman" w:hAnsi="Times New Roman" w:cs="Times New Roman"/>
        <w:color w:val="2A2A2A"/>
        <w:sz w:val="20"/>
        <w:szCs w:val="20"/>
        <w:lang w:eastAsia="en-GB"/>
      </w:rPr>
      <w:t>Mahmut</w:t>
    </w:r>
    <w:proofErr w:type="spellEnd"/>
    <w:r w:rsidR="000534EB">
      <w:rPr>
        <w:rFonts w:ascii="Times New Roman" w:hAnsi="Times New Roman" w:cs="Times New Roman"/>
        <w:color w:val="2A2A2A"/>
        <w:sz w:val="20"/>
        <w:szCs w:val="20"/>
        <w:lang w:eastAsia="en-GB"/>
      </w:rPr>
      <w:t xml:space="preserve"> ERDEMLI</w:t>
    </w:r>
  </w:p>
  <w:p w:rsidR="00703CEE" w:rsidRDefault="00703CE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25"/>
    <w:rsid w:val="00003FB8"/>
    <w:rsid w:val="000272EF"/>
    <w:rsid w:val="000534EB"/>
    <w:rsid w:val="00054B0D"/>
    <w:rsid w:val="000939B1"/>
    <w:rsid w:val="000F7AD1"/>
    <w:rsid w:val="00176453"/>
    <w:rsid w:val="002B0EDB"/>
    <w:rsid w:val="00363689"/>
    <w:rsid w:val="003A15DB"/>
    <w:rsid w:val="005178E9"/>
    <w:rsid w:val="006D4C03"/>
    <w:rsid w:val="00703CEE"/>
    <w:rsid w:val="00770919"/>
    <w:rsid w:val="007A61F5"/>
    <w:rsid w:val="007B1C25"/>
    <w:rsid w:val="007B4689"/>
    <w:rsid w:val="00807364"/>
    <w:rsid w:val="0081227E"/>
    <w:rsid w:val="009764D2"/>
    <w:rsid w:val="00AC5B98"/>
    <w:rsid w:val="00AE7CDC"/>
    <w:rsid w:val="00B00868"/>
    <w:rsid w:val="00B609DE"/>
    <w:rsid w:val="00C10882"/>
    <w:rsid w:val="00C27D97"/>
    <w:rsid w:val="00CA277F"/>
    <w:rsid w:val="00CE2D5A"/>
    <w:rsid w:val="00CE7BC6"/>
    <w:rsid w:val="00D9526B"/>
    <w:rsid w:val="00DE1738"/>
    <w:rsid w:val="00E61FD6"/>
    <w:rsid w:val="00F93325"/>
    <w:rsid w:val="00FB0EB8"/>
    <w:rsid w:val="00FC6D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25"/>
    <w:pPr>
      <w:spacing w:after="200" w:line="276" w:lineRule="auto"/>
    </w:pPr>
    <w:rPr>
      <w:rFonts w:cs="Calibri"/>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F93325"/>
    <w:rPr>
      <w:color w:val="0000FF"/>
      <w:u w:val="single"/>
    </w:rPr>
  </w:style>
  <w:style w:type="paragraph" w:styleId="NormalWeb">
    <w:name w:val="Normal (Web)"/>
    <w:basedOn w:val="Normal"/>
    <w:uiPriority w:val="99"/>
    <w:semiHidden/>
    <w:rsid w:val="00F93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pnotMetniChar">
    <w:name w:val="Dipnot Metni Char"/>
    <w:aliases w:val="Footnote Expulsion Char"/>
    <w:link w:val="DipnotMetni"/>
    <w:uiPriority w:val="99"/>
    <w:locked/>
    <w:rsid w:val="00F93325"/>
    <w:rPr>
      <w:rFonts w:ascii="Times New Roman" w:hAnsi="Times New Roman" w:cs="Times New Roman"/>
      <w:sz w:val="20"/>
      <w:szCs w:val="20"/>
      <w:lang w:val="en-GB"/>
    </w:rPr>
  </w:style>
  <w:style w:type="paragraph" w:styleId="DipnotMetni">
    <w:name w:val="footnote text"/>
    <w:aliases w:val="Footnote Expulsion"/>
    <w:basedOn w:val="Normal"/>
    <w:link w:val="DipnotMetniChar"/>
    <w:uiPriority w:val="99"/>
    <w:semiHidden/>
    <w:rsid w:val="00F93325"/>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aliases w:val="Footnote Expulsion Char1"/>
    <w:uiPriority w:val="99"/>
    <w:semiHidden/>
    <w:rsid w:val="005925D5"/>
    <w:rPr>
      <w:rFonts w:cs="Calibri"/>
      <w:sz w:val="20"/>
      <w:szCs w:val="20"/>
      <w:lang w:val="en-GB" w:eastAsia="en-US"/>
    </w:rPr>
  </w:style>
  <w:style w:type="character" w:customStyle="1" w:styleId="DipnotMetniChar1">
    <w:name w:val="Dipnot Metni Char1"/>
    <w:aliases w:val="Footnote Expulsion Char11"/>
    <w:uiPriority w:val="99"/>
    <w:semiHidden/>
    <w:rsid w:val="00F93325"/>
    <w:rPr>
      <w:rFonts w:ascii="Calibri" w:eastAsia="Times New Roman" w:hAnsi="Calibri" w:cs="Calibri"/>
      <w:sz w:val="20"/>
      <w:szCs w:val="20"/>
      <w:lang w:val="en-GB"/>
    </w:rPr>
  </w:style>
  <w:style w:type="character" w:customStyle="1" w:styleId="AralkYokChar">
    <w:name w:val="Aralık Yok Char"/>
    <w:link w:val="AralkYok"/>
    <w:uiPriority w:val="99"/>
    <w:locked/>
    <w:rsid w:val="00F93325"/>
    <w:rPr>
      <w:rFonts w:ascii="Calibri" w:hAnsi="Calibri" w:cs="Calibri"/>
      <w:sz w:val="22"/>
      <w:szCs w:val="22"/>
      <w:lang w:val="en-GB" w:eastAsia="en-US"/>
    </w:rPr>
  </w:style>
  <w:style w:type="paragraph" w:styleId="AralkYok">
    <w:name w:val="No Spacing"/>
    <w:link w:val="AralkYokChar"/>
    <w:uiPriority w:val="99"/>
    <w:qFormat/>
    <w:rsid w:val="00F93325"/>
    <w:rPr>
      <w:rFonts w:cs="Calibri"/>
      <w:sz w:val="22"/>
      <w:szCs w:val="22"/>
      <w:lang w:val="en-GB" w:eastAsia="en-US"/>
    </w:rPr>
  </w:style>
  <w:style w:type="character" w:styleId="DipnotBavurusu">
    <w:name w:val="footnote reference"/>
    <w:uiPriority w:val="99"/>
    <w:semiHidden/>
    <w:rsid w:val="00F93325"/>
    <w:rPr>
      <w:vertAlign w:val="superscript"/>
    </w:rPr>
  </w:style>
  <w:style w:type="paragraph" w:styleId="stbilgi">
    <w:name w:val="header"/>
    <w:basedOn w:val="Normal"/>
    <w:link w:val="stbilgiChar"/>
    <w:uiPriority w:val="99"/>
    <w:rsid w:val="009764D2"/>
    <w:pPr>
      <w:tabs>
        <w:tab w:val="center" w:pos="4703"/>
        <w:tab w:val="right" w:pos="9406"/>
      </w:tabs>
      <w:spacing w:after="0" w:line="240" w:lineRule="auto"/>
    </w:pPr>
  </w:style>
  <w:style w:type="character" w:customStyle="1" w:styleId="stbilgiChar">
    <w:name w:val="Üstbilgi Char"/>
    <w:link w:val="stbilgi"/>
    <w:uiPriority w:val="99"/>
    <w:locked/>
    <w:rsid w:val="009764D2"/>
    <w:rPr>
      <w:rFonts w:ascii="Calibri" w:eastAsia="Times New Roman" w:hAnsi="Calibri" w:cs="Calibri"/>
      <w:lang w:val="en-GB"/>
    </w:rPr>
  </w:style>
  <w:style w:type="paragraph" w:styleId="Altbilgi">
    <w:name w:val="footer"/>
    <w:basedOn w:val="Normal"/>
    <w:link w:val="AltbilgiChar"/>
    <w:uiPriority w:val="99"/>
    <w:rsid w:val="009764D2"/>
    <w:pPr>
      <w:tabs>
        <w:tab w:val="center" w:pos="4703"/>
        <w:tab w:val="right" w:pos="9406"/>
      </w:tabs>
      <w:spacing w:after="0" w:line="240" w:lineRule="auto"/>
    </w:pPr>
  </w:style>
  <w:style w:type="character" w:customStyle="1" w:styleId="AltbilgiChar">
    <w:name w:val="Altbilgi Char"/>
    <w:link w:val="Altbilgi"/>
    <w:uiPriority w:val="99"/>
    <w:locked/>
    <w:rsid w:val="009764D2"/>
    <w:rPr>
      <w:rFonts w:ascii="Calibri" w:eastAsia="Times New Roman"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25"/>
    <w:pPr>
      <w:spacing w:after="200" w:line="276" w:lineRule="auto"/>
    </w:pPr>
    <w:rPr>
      <w:rFonts w:cs="Calibri"/>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F93325"/>
    <w:rPr>
      <w:color w:val="0000FF"/>
      <w:u w:val="single"/>
    </w:rPr>
  </w:style>
  <w:style w:type="paragraph" w:styleId="NormalWeb">
    <w:name w:val="Normal (Web)"/>
    <w:basedOn w:val="Normal"/>
    <w:uiPriority w:val="99"/>
    <w:semiHidden/>
    <w:rsid w:val="00F93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pnotMetniChar">
    <w:name w:val="Dipnot Metni Char"/>
    <w:aliases w:val="Footnote Expulsion Char"/>
    <w:link w:val="DipnotMetni"/>
    <w:uiPriority w:val="99"/>
    <w:locked/>
    <w:rsid w:val="00F93325"/>
    <w:rPr>
      <w:rFonts w:ascii="Times New Roman" w:hAnsi="Times New Roman" w:cs="Times New Roman"/>
      <w:sz w:val="20"/>
      <w:szCs w:val="20"/>
      <w:lang w:val="en-GB"/>
    </w:rPr>
  </w:style>
  <w:style w:type="paragraph" w:styleId="DipnotMetni">
    <w:name w:val="footnote text"/>
    <w:aliases w:val="Footnote Expulsion"/>
    <w:basedOn w:val="Normal"/>
    <w:link w:val="DipnotMetniChar"/>
    <w:uiPriority w:val="99"/>
    <w:semiHidden/>
    <w:rsid w:val="00F93325"/>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aliases w:val="Footnote Expulsion Char1"/>
    <w:uiPriority w:val="99"/>
    <w:semiHidden/>
    <w:rsid w:val="005925D5"/>
    <w:rPr>
      <w:rFonts w:cs="Calibri"/>
      <w:sz w:val="20"/>
      <w:szCs w:val="20"/>
      <w:lang w:val="en-GB" w:eastAsia="en-US"/>
    </w:rPr>
  </w:style>
  <w:style w:type="character" w:customStyle="1" w:styleId="DipnotMetniChar1">
    <w:name w:val="Dipnot Metni Char1"/>
    <w:aliases w:val="Footnote Expulsion Char11"/>
    <w:uiPriority w:val="99"/>
    <w:semiHidden/>
    <w:rsid w:val="00F93325"/>
    <w:rPr>
      <w:rFonts w:ascii="Calibri" w:eastAsia="Times New Roman" w:hAnsi="Calibri" w:cs="Calibri"/>
      <w:sz w:val="20"/>
      <w:szCs w:val="20"/>
      <w:lang w:val="en-GB"/>
    </w:rPr>
  </w:style>
  <w:style w:type="character" w:customStyle="1" w:styleId="AralkYokChar">
    <w:name w:val="Aralık Yok Char"/>
    <w:link w:val="AralkYok"/>
    <w:uiPriority w:val="99"/>
    <w:locked/>
    <w:rsid w:val="00F93325"/>
    <w:rPr>
      <w:rFonts w:ascii="Calibri" w:hAnsi="Calibri" w:cs="Calibri"/>
      <w:sz w:val="22"/>
      <w:szCs w:val="22"/>
      <w:lang w:val="en-GB" w:eastAsia="en-US"/>
    </w:rPr>
  </w:style>
  <w:style w:type="paragraph" w:styleId="AralkYok">
    <w:name w:val="No Spacing"/>
    <w:link w:val="AralkYokChar"/>
    <w:uiPriority w:val="99"/>
    <w:qFormat/>
    <w:rsid w:val="00F93325"/>
    <w:rPr>
      <w:rFonts w:cs="Calibri"/>
      <w:sz w:val="22"/>
      <w:szCs w:val="22"/>
      <w:lang w:val="en-GB" w:eastAsia="en-US"/>
    </w:rPr>
  </w:style>
  <w:style w:type="character" w:styleId="DipnotBavurusu">
    <w:name w:val="footnote reference"/>
    <w:uiPriority w:val="99"/>
    <w:semiHidden/>
    <w:rsid w:val="00F93325"/>
    <w:rPr>
      <w:vertAlign w:val="superscript"/>
    </w:rPr>
  </w:style>
  <w:style w:type="paragraph" w:styleId="stbilgi">
    <w:name w:val="header"/>
    <w:basedOn w:val="Normal"/>
    <w:link w:val="stbilgiChar"/>
    <w:uiPriority w:val="99"/>
    <w:rsid w:val="009764D2"/>
    <w:pPr>
      <w:tabs>
        <w:tab w:val="center" w:pos="4703"/>
        <w:tab w:val="right" w:pos="9406"/>
      </w:tabs>
      <w:spacing w:after="0" w:line="240" w:lineRule="auto"/>
    </w:pPr>
  </w:style>
  <w:style w:type="character" w:customStyle="1" w:styleId="stbilgiChar">
    <w:name w:val="Üstbilgi Char"/>
    <w:link w:val="stbilgi"/>
    <w:uiPriority w:val="99"/>
    <w:locked/>
    <w:rsid w:val="009764D2"/>
    <w:rPr>
      <w:rFonts w:ascii="Calibri" w:eastAsia="Times New Roman" w:hAnsi="Calibri" w:cs="Calibri"/>
      <w:lang w:val="en-GB"/>
    </w:rPr>
  </w:style>
  <w:style w:type="paragraph" w:styleId="Altbilgi">
    <w:name w:val="footer"/>
    <w:basedOn w:val="Normal"/>
    <w:link w:val="AltbilgiChar"/>
    <w:uiPriority w:val="99"/>
    <w:rsid w:val="009764D2"/>
    <w:pPr>
      <w:tabs>
        <w:tab w:val="center" w:pos="4703"/>
        <w:tab w:val="right" w:pos="9406"/>
      </w:tabs>
      <w:spacing w:after="0" w:line="240" w:lineRule="auto"/>
    </w:pPr>
  </w:style>
  <w:style w:type="character" w:customStyle="1" w:styleId="AltbilgiChar">
    <w:name w:val="Altbilgi Char"/>
    <w:link w:val="Altbilgi"/>
    <w:uiPriority w:val="99"/>
    <w:locked/>
    <w:rsid w:val="009764D2"/>
    <w:rPr>
      <w:rFonts w:ascii="Calibri" w:eastAsia="Times New Roma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9248">
      <w:bodyDiv w:val="1"/>
      <w:marLeft w:val="0"/>
      <w:marRight w:val="0"/>
      <w:marTop w:val="0"/>
      <w:marBottom w:val="0"/>
      <w:divBdr>
        <w:top w:val="none" w:sz="0" w:space="0" w:color="auto"/>
        <w:left w:val="none" w:sz="0" w:space="0" w:color="auto"/>
        <w:bottom w:val="none" w:sz="0" w:space="0" w:color="auto"/>
        <w:right w:val="none" w:sz="0" w:space="0" w:color="auto"/>
      </w:divBdr>
    </w:div>
    <w:div w:id="318769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law/indjudiciary.htm" TargetMode="External"/><Relationship Id="rId3" Type="http://schemas.openxmlformats.org/officeDocument/2006/relationships/settings" Target="settings.xml"/><Relationship Id="rId7" Type="http://schemas.openxmlformats.org/officeDocument/2006/relationships/hyperlink" Target="http://treaties.un.org/Pages/ViewDetails.aspx?src=TREATY&amp;mtdsg_no=IV-4&amp;chapter=4&amp;lang=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hcr.org/refworld/docid/3ae6b3a94.html" TargetMode="External"/><Relationship Id="rId1" Type="http://schemas.openxmlformats.org/officeDocument/2006/relationships/hyperlink" Target="http://www2.ohchr.org/english/law/indjudici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15</Pages>
  <Words>5170</Words>
  <Characters>29474</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CRIMINAL TRIALS: What guarantees does international human rights law offer</vt:lpstr>
    </vt:vector>
  </TitlesOfParts>
  <Company>HOME</Company>
  <LinksUpToDate>false</LinksUpToDate>
  <CharactersWithSpaces>34575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TRIALS: What guarantees does international human rights law offer</dc:title>
  <dc:creator>Administrator</dc:creator>
  <cp:lastModifiedBy>Mahmut ERDEMLİ 34468</cp:lastModifiedBy>
  <cp:revision>5</cp:revision>
  <dcterms:created xsi:type="dcterms:W3CDTF">2014-04-07T05:56:00Z</dcterms:created>
  <dcterms:modified xsi:type="dcterms:W3CDTF">2014-12-02T13:29:00Z</dcterms:modified>
</cp:coreProperties>
</file>